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4FC" w:rsidRPr="00A74446" w:rsidRDefault="00C214FC" w:rsidP="00DE37A4">
      <w:pPr>
        <w:ind w:firstLine="567"/>
        <w:jc w:val="right"/>
        <w:rPr>
          <w:rFonts w:ascii="Times New Roman" w:hAnsi="Times New Roman" w:cs="Times New Roman"/>
          <w:color w:val="auto"/>
          <w:lang w:val="ru-RU"/>
        </w:rPr>
      </w:pPr>
      <w:bookmarkStart w:id="0" w:name="_GoBack"/>
      <w:bookmarkEnd w:id="0"/>
      <w:r w:rsidRPr="00A74446">
        <w:rPr>
          <w:rFonts w:ascii="Times New Roman" w:hAnsi="Times New Roman" w:cs="Times New Roman"/>
          <w:color w:val="auto"/>
          <w:lang w:val="ru-RU"/>
        </w:rPr>
        <w:t>Додаток 1</w:t>
      </w:r>
    </w:p>
    <w:p w:rsidR="00C214FC" w:rsidRPr="00A74446" w:rsidRDefault="00C214FC" w:rsidP="00DE37A4">
      <w:pPr>
        <w:pStyle w:val="Standard"/>
        <w:ind w:firstLine="567"/>
        <w:jc w:val="right"/>
        <w:rPr>
          <w:rFonts w:ascii="Times New Roman" w:hAnsi="Times New Roman"/>
          <w:szCs w:val="24"/>
          <w:lang w:val="uk-UA"/>
        </w:rPr>
      </w:pPr>
      <w:r w:rsidRPr="00A74446">
        <w:rPr>
          <w:rFonts w:ascii="Times New Roman" w:hAnsi="Times New Roman"/>
          <w:szCs w:val="24"/>
        </w:rPr>
        <w:t>до реєстраційного посвідчення</w:t>
      </w:r>
      <w:r w:rsidRPr="00A74446">
        <w:rPr>
          <w:rFonts w:ascii="Times New Roman" w:hAnsi="Times New Roman"/>
          <w:szCs w:val="24"/>
          <w:lang w:val="uk-UA"/>
        </w:rPr>
        <w:t xml:space="preserve"> АА-09874-01-25</w:t>
      </w:r>
    </w:p>
    <w:p w:rsidR="00C214FC" w:rsidRPr="00A74446" w:rsidRDefault="00C214FC" w:rsidP="00DE37A4">
      <w:pPr>
        <w:ind w:firstLine="567"/>
        <w:rPr>
          <w:color w:val="auto"/>
          <w:lang w:val="ru-RU"/>
        </w:rPr>
      </w:pPr>
    </w:p>
    <w:p w:rsidR="00C214FC" w:rsidRPr="00A74446" w:rsidRDefault="00C214FC" w:rsidP="00DE37A4">
      <w:pPr>
        <w:ind w:firstLine="567"/>
        <w:rPr>
          <w:color w:val="auto"/>
          <w:lang w:val="ru-RU"/>
        </w:rPr>
      </w:pPr>
    </w:p>
    <w:p w:rsidR="00C214FC" w:rsidRPr="00A74446" w:rsidRDefault="00C214FC" w:rsidP="00DE37A4">
      <w:pPr>
        <w:pStyle w:val="2"/>
        <w:ind w:firstLine="567"/>
      </w:pPr>
      <w:r w:rsidRPr="00A74446">
        <w:t>Коротка характеристика препарату</w:t>
      </w:r>
    </w:p>
    <w:p w:rsidR="00C214FC" w:rsidRPr="00A74446" w:rsidRDefault="00C214FC" w:rsidP="00DE37A4">
      <w:pPr>
        <w:ind w:firstLine="567"/>
        <w:rPr>
          <w:rFonts w:ascii="Times New Roman" w:hAnsi="Times New Roman" w:cs="Times New Roman"/>
          <w:color w:val="auto"/>
          <w:lang w:val="uk-UA"/>
        </w:rPr>
      </w:pP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A74446">
        <w:rPr>
          <w:rFonts w:ascii="Times New Roman" w:hAnsi="Times New Roman" w:cs="Times New Roman"/>
          <w:b/>
          <w:color w:val="auto"/>
          <w:lang w:val="uk-UA"/>
        </w:rPr>
        <w:t>1. Назва</w:t>
      </w: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A74446">
        <w:rPr>
          <w:rFonts w:ascii="Times New Roman" w:hAnsi="Times New Roman"/>
          <w:color w:val="auto"/>
          <w:lang w:val="uk-UA"/>
        </w:rPr>
        <w:t>Енроксік ЛА</w:t>
      </w: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A74446">
        <w:rPr>
          <w:rFonts w:ascii="Times New Roman" w:hAnsi="Times New Roman" w:cs="Times New Roman"/>
          <w:b/>
          <w:color w:val="auto"/>
          <w:lang w:val="uk-UA"/>
        </w:rPr>
        <w:t>2. Склад</w:t>
      </w: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A74446">
        <w:rPr>
          <w:rFonts w:ascii="Times New Roman" w:hAnsi="Times New Roman" w:cs="Times New Roman"/>
          <w:lang w:val="uk-UA"/>
        </w:rPr>
        <w:t>1 мл</w:t>
      </w:r>
      <w:r w:rsidRPr="00A74446">
        <w:rPr>
          <w:rFonts w:ascii="Times New Roman" w:hAnsi="Times New Roman" w:cs="Times New Roman"/>
          <w:lang w:val="ru-RU"/>
        </w:rPr>
        <w:t xml:space="preserve"> </w:t>
      </w:r>
      <w:r w:rsidRPr="00A74446">
        <w:rPr>
          <w:rFonts w:ascii="Times New Roman" w:hAnsi="Times New Roman" w:cs="Times New Roman"/>
          <w:lang w:val="uk-UA"/>
        </w:rPr>
        <w:t>препарату містить діючі речовини (мг):</w:t>
      </w: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A74446">
        <w:rPr>
          <w:rFonts w:ascii="Times New Roman" w:hAnsi="Times New Roman" w:cs="Times New Roman"/>
          <w:lang w:val="uk-UA"/>
        </w:rPr>
        <w:t>енрофлоксацин-190,0</w:t>
      </w:r>
      <w:r w:rsidRPr="00A74446">
        <w:rPr>
          <w:rFonts w:ascii="Times New Roman" w:hAnsi="Times New Roman" w:cs="Times New Roman"/>
          <w:strike/>
          <w:lang w:val="uk-UA"/>
        </w:rPr>
        <w:t>;</w:t>
      </w: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A74446">
        <w:rPr>
          <w:rFonts w:ascii="Times New Roman" w:hAnsi="Times New Roman" w:cs="Times New Roman"/>
          <w:lang w:val="uk-UA"/>
        </w:rPr>
        <w:t xml:space="preserve">мелоксикам – 12,5. </w:t>
      </w: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A74446">
        <w:rPr>
          <w:rFonts w:ascii="Times New Roman" w:hAnsi="Times New Roman" w:cs="Times New Roman"/>
          <w:lang w:val="uk-UA"/>
        </w:rPr>
        <w:t>Допоміжні речовини: натрію гідроксид, спирт бензиловий, пропіленгліколь, вода для ін'єкцій.</w:t>
      </w: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A74446">
        <w:rPr>
          <w:rFonts w:ascii="Times New Roman" w:hAnsi="Times New Roman" w:cs="Times New Roman"/>
          <w:b/>
          <w:color w:val="auto"/>
          <w:lang w:val="uk-UA"/>
        </w:rPr>
        <w:t>3. Фармацевтична форма</w:t>
      </w: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A74446">
        <w:rPr>
          <w:rFonts w:ascii="Times New Roman" w:hAnsi="Times New Roman" w:cs="Times New Roman"/>
          <w:color w:val="auto"/>
          <w:lang w:val="uk-UA"/>
        </w:rPr>
        <w:t>Розчин для ін’єкцій.</w:t>
      </w: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A74446">
        <w:rPr>
          <w:rFonts w:ascii="Times New Roman" w:hAnsi="Times New Roman" w:cs="Times New Roman"/>
          <w:b/>
          <w:color w:val="auto"/>
          <w:lang w:val="uk-UA"/>
        </w:rPr>
        <w:t>4. Фармакологічні властивості</w:t>
      </w:r>
    </w:p>
    <w:p w:rsidR="00C214FC" w:rsidRPr="00A74446" w:rsidRDefault="00C214FC" w:rsidP="00DE37A4">
      <w:pPr>
        <w:pStyle w:val="1"/>
        <w:spacing w:before="0" w:after="0" w:line="240" w:lineRule="auto"/>
        <w:ind w:firstLine="567"/>
        <w:jc w:val="both"/>
        <w:rPr>
          <w:b/>
          <w:i/>
          <w:spacing w:val="4"/>
          <w:sz w:val="24"/>
          <w:szCs w:val="24"/>
          <w:lang w:val="uk-UA"/>
        </w:rPr>
      </w:pPr>
      <w:r w:rsidRPr="00A74446">
        <w:rPr>
          <w:b/>
          <w:i/>
          <w:spacing w:val="4"/>
          <w:sz w:val="24"/>
          <w:szCs w:val="24"/>
        </w:rPr>
        <w:t>ATC</w:t>
      </w:r>
      <w:r w:rsidRPr="00A74446">
        <w:rPr>
          <w:b/>
          <w:i/>
          <w:spacing w:val="4"/>
          <w:sz w:val="24"/>
          <w:szCs w:val="24"/>
          <w:lang w:val="uk-UA"/>
        </w:rPr>
        <w:t xml:space="preserve"> </w:t>
      </w:r>
      <w:r w:rsidRPr="00A74446">
        <w:rPr>
          <w:b/>
          <w:i/>
          <w:spacing w:val="4"/>
          <w:sz w:val="24"/>
          <w:szCs w:val="24"/>
        </w:rPr>
        <w:t>vet</w:t>
      </w:r>
      <w:r w:rsidRPr="00A74446">
        <w:rPr>
          <w:b/>
          <w:i/>
          <w:spacing w:val="4"/>
          <w:sz w:val="24"/>
          <w:szCs w:val="24"/>
          <w:lang w:val="uk-UA"/>
        </w:rPr>
        <w:t xml:space="preserve"> класифікаційний код </w:t>
      </w:r>
      <w:r w:rsidRPr="00A74446">
        <w:rPr>
          <w:b/>
          <w:i/>
          <w:spacing w:val="4"/>
          <w:sz w:val="24"/>
          <w:szCs w:val="24"/>
        </w:rPr>
        <w:t>QJ</w:t>
      </w:r>
      <w:r w:rsidRPr="00A74446">
        <w:rPr>
          <w:b/>
          <w:i/>
          <w:spacing w:val="4"/>
          <w:sz w:val="24"/>
          <w:szCs w:val="24"/>
          <w:lang w:val="uk-UA"/>
        </w:rPr>
        <w:t xml:space="preserve">01 - </w:t>
      </w:r>
      <w:r w:rsidRPr="00A74446">
        <w:rPr>
          <w:b/>
          <w:i/>
          <w:spacing w:val="4"/>
          <w:sz w:val="24"/>
          <w:szCs w:val="24"/>
        </w:rPr>
        <w:t>антибактеріальні ветеринарні препарати для системного застосування. QJ</w:t>
      </w:r>
      <w:r w:rsidRPr="00A74446">
        <w:rPr>
          <w:b/>
          <w:i/>
          <w:spacing w:val="4"/>
          <w:sz w:val="24"/>
          <w:szCs w:val="24"/>
          <w:lang w:val="uk-UA"/>
        </w:rPr>
        <w:t>01</w:t>
      </w:r>
      <w:r w:rsidRPr="00A74446">
        <w:rPr>
          <w:b/>
          <w:i/>
          <w:spacing w:val="4"/>
          <w:sz w:val="24"/>
          <w:szCs w:val="24"/>
        </w:rPr>
        <w:t>MA90 – Енрофлоксацин</w:t>
      </w:r>
      <w:r w:rsidRPr="00A74446">
        <w:rPr>
          <w:b/>
          <w:i/>
          <w:spacing w:val="4"/>
          <w:sz w:val="24"/>
          <w:szCs w:val="24"/>
          <w:lang w:val="uk-UA"/>
        </w:rPr>
        <w:t xml:space="preserve">,+ </w:t>
      </w:r>
      <w:r w:rsidRPr="00A74446">
        <w:rPr>
          <w:b/>
          <w:i/>
          <w:spacing w:val="4"/>
          <w:sz w:val="24"/>
          <w:szCs w:val="24"/>
          <w:lang w:val="en-US"/>
        </w:rPr>
        <w:t>QM</w:t>
      </w:r>
      <w:r w:rsidRPr="00A74446">
        <w:rPr>
          <w:b/>
          <w:i/>
          <w:spacing w:val="4"/>
          <w:sz w:val="24"/>
          <w:szCs w:val="24"/>
        </w:rPr>
        <w:t>01</w:t>
      </w:r>
      <w:r w:rsidRPr="00A74446">
        <w:rPr>
          <w:b/>
          <w:i/>
          <w:spacing w:val="4"/>
          <w:sz w:val="24"/>
          <w:szCs w:val="24"/>
          <w:lang w:val="en-US"/>
        </w:rPr>
        <w:t>AC</w:t>
      </w:r>
      <w:r w:rsidRPr="00A74446">
        <w:rPr>
          <w:b/>
          <w:i/>
          <w:spacing w:val="4"/>
          <w:sz w:val="24"/>
          <w:szCs w:val="24"/>
        </w:rPr>
        <w:t xml:space="preserve">06 - </w:t>
      </w:r>
      <w:r w:rsidRPr="00A74446">
        <w:rPr>
          <w:b/>
          <w:i/>
          <w:spacing w:val="4"/>
          <w:sz w:val="24"/>
          <w:szCs w:val="24"/>
          <w:lang w:val="uk-UA"/>
        </w:rPr>
        <w:t>мелоксикам</w:t>
      </w:r>
      <w:r w:rsidRPr="00A74446">
        <w:rPr>
          <w:b/>
          <w:i/>
          <w:spacing w:val="4"/>
          <w:sz w:val="24"/>
          <w:szCs w:val="24"/>
        </w:rPr>
        <w:t xml:space="preserve"> </w:t>
      </w: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A74446">
        <w:rPr>
          <w:rFonts w:ascii="Times New Roman" w:hAnsi="Times New Roman" w:cs="Times New Roman"/>
          <w:color w:val="auto"/>
          <w:lang w:val="uk-UA"/>
        </w:rPr>
        <w:t>Енрофлоксацин належить до групи фторхінолонів та діє бактерицидно. Механізм дії полягає в порушенні синтезу ДНК в бактеріальних клітинах, блокуючи два ферменти бактерій: ДНК-гіразу та топоізомеразу. Ці ферменти беруть участь у реплікації, транскрипція та рекомбінації бактеріального ДНК. Порушення фторхінолонами реплікації та транскрипції ДНК</w:t>
      </w:r>
      <w:r w:rsidRPr="00A74446">
        <w:rPr>
          <w:rFonts w:ascii="Times New Roman" w:hAnsi="Times New Roman" w:cs="Times New Roman"/>
          <w:color w:val="FF0000"/>
          <w:lang w:val="uk-UA"/>
        </w:rPr>
        <w:t xml:space="preserve"> </w:t>
      </w:r>
      <w:r w:rsidRPr="00A74446">
        <w:rPr>
          <w:rFonts w:ascii="Times New Roman" w:hAnsi="Times New Roman" w:cs="Times New Roman"/>
          <w:color w:val="auto"/>
          <w:lang w:val="uk-UA"/>
        </w:rPr>
        <w:t>призводить до припинення синтезу білка в мікробній клітині та, як наслідок, до загибелі бактерії.</w:t>
      </w:r>
      <w:r w:rsidRPr="00A74446">
        <w:rPr>
          <w:rFonts w:ascii="Times New Roman" w:hAnsi="Times New Roman" w:cs="Times New Roman"/>
          <w:color w:val="FF0000"/>
          <w:lang w:val="uk-UA"/>
        </w:rPr>
        <w:t xml:space="preserve"> </w:t>
      </w:r>
      <w:r w:rsidRPr="00A74446">
        <w:rPr>
          <w:rFonts w:ascii="Times New Roman" w:hAnsi="Times New Roman" w:cs="Times New Roman"/>
          <w:color w:val="auto"/>
          <w:lang w:val="uk-UA"/>
        </w:rPr>
        <w:t xml:space="preserve">Фторхінолони ефективні проти внутрішньоклітинних збудників.  </w:t>
      </w: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i/>
          <w:color w:val="auto"/>
          <w:lang w:val="uk-UA"/>
        </w:rPr>
      </w:pPr>
      <w:r w:rsidRPr="00A74446">
        <w:rPr>
          <w:rFonts w:ascii="Times New Roman" w:hAnsi="Times New Roman" w:cs="Times New Roman"/>
          <w:color w:val="auto"/>
          <w:lang w:val="uk-UA"/>
        </w:rPr>
        <w:t>Енрофлоксацин активний щодо</w:t>
      </w:r>
      <w:r w:rsidRPr="00A74446">
        <w:rPr>
          <w:rFonts w:ascii="Times New Roman" w:hAnsi="Times New Roman" w:cs="Times New Roman"/>
          <w:color w:val="FF0000"/>
          <w:lang w:val="uk-UA"/>
        </w:rPr>
        <w:t xml:space="preserve"> </w:t>
      </w:r>
      <w:r w:rsidRPr="00A74446">
        <w:rPr>
          <w:rFonts w:ascii="Times New Roman" w:hAnsi="Times New Roman" w:cs="Times New Roman"/>
          <w:color w:val="auto"/>
          <w:lang w:val="uk-UA"/>
        </w:rPr>
        <w:t>грампозитивних (</w:t>
      </w:r>
      <w:r w:rsidRPr="00A74446">
        <w:rPr>
          <w:rFonts w:ascii="Times New Roman" w:hAnsi="Times New Roman" w:cs="Times New Roman"/>
          <w:i/>
          <w:color w:val="auto"/>
          <w:lang w:val="uk-UA"/>
        </w:rPr>
        <w:t>Staphylococcus aureus, Streptococcus spp., Corynebacterium spp., Clostridium perfringens</w:t>
      </w:r>
      <w:r w:rsidRPr="00A74446">
        <w:rPr>
          <w:rFonts w:ascii="Times New Roman" w:hAnsi="Times New Roman" w:cs="Times New Roman"/>
          <w:color w:val="auto"/>
          <w:lang w:val="uk-UA"/>
        </w:rPr>
        <w:t>)</w:t>
      </w:r>
      <w:r w:rsidRPr="00A74446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r w:rsidRPr="00A74446">
        <w:rPr>
          <w:rFonts w:ascii="Times New Roman" w:hAnsi="Times New Roman" w:cs="Times New Roman"/>
          <w:color w:val="auto"/>
          <w:lang w:val="uk-UA"/>
        </w:rPr>
        <w:t xml:space="preserve">та грамнегативних </w:t>
      </w:r>
      <w:r w:rsidRPr="00A74446">
        <w:rPr>
          <w:rFonts w:ascii="Times New Roman" w:hAnsi="Times New Roman" w:cs="Times New Roman"/>
          <w:i/>
          <w:color w:val="auto"/>
          <w:lang w:val="uk-UA"/>
        </w:rPr>
        <w:t>Histophilus somni, Mannheimia haemolytica, Pasteurella spp. Escherichia coli, Actinobacillus pleuropneumoniae, Salmonella spp., Bordetella spp., Campylobacter spp., Klebsiella spp., Haemophilus spp., Pseudomonas aeruginosa, Proteus spp.</w:t>
      </w:r>
      <w:r w:rsidRPr="00A74446">
        <w:rPr>
          <w:rFonts w:ascii="Times New Roman" w:hAnsi="Times New Roman" w:cs="Times New Roman"/>
          <w:color w:val="auto"/>
          <w:lang w:val="uk-UA"/>
        </w:rPr>
        <w:t>)</w:t>
      </w:r>
      <w:r w:rsidRPr="00A74446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r w:rsidRPr="00A74446">
        <w:rPr>
          <w:rFonts w:ascii="Times New Roman" w:hAnsi="Times New Roman" w:cs="Times New Roman"/>
          <w:color w:val="auto"/>
          <w:lang w:val="uk-UA"/>
        </w:rPr>
        <w:t>бактерій,</w:t>
      </w:r>
      <w:r w:rsidRPr="00A74446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r w:rsidRPr="00A74446">
        <w:rPr>
          <w:rFonts w:ascii="Times New Roman" w:hAnsi="Times New Roman" w:cs="Times New Roman"/>
          <w:color w:val="auto"/>
          <w:lang w:val="uk-UA"/>
        </w:rPr>
        <w:t>а також мікоплазм (</w:t>
      </w:r>
      <w:r w:rsidRPr="00A74446">
        <w:rPr>
          <w:rFonts w:ascii="Times New Roman" w:hAnsi="Times New Roman" w:cs="Times New Roman"/>
          <w:i/>
          <w:color w:val="auto"/>
          <w:lang w:val="uk-UA"/>
        </w:rPr>
        <w:t>Mycoplasma spp.</w:t>
      </w:r>
      <w:r w:rsidRPr="00A74446">
        <w:rPr>
          <w:rFonts w:ascii="Times New Roman" w:hAnsi="Times New Roman" w:cs="Times New Roman"/>
          <w:color w:val="auto"/>
          <w:lang w:val="uk-UA"/>
        </w:rPr>
        <w:t>).</w:t>
      </w: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A74446">
        <w:rPr>
          <w:rFonts w:ascii="Times New Roman" w:hAnsi="Times New Roman" w:cs="Times New Roman"/>
          <w:lang w:val="ru-RU"/>
        </w:rPr>
        <w:t xml:space="preserve">Після внутрішньом’язового введення біодоступність енрофлоксацину становить більше 90 %. </w:t>
      </w:r>
      <w:r w:rsidRPr="00A74446">
        <w:rPr>
          <w:rFonts w:ascii="Times New Roman" w:hAnsi="Times New Roman" w:cs="Times New Roman"/>
          <w:color w:val="auto"/>
          <w:lang w:val="ru-RU"/>
        </w:rPr>
        <w:t xml:space="preserve">Після одноразової дози </w:t>
      </w:r>
      <w:r w:rsidRPr="00A74446">
        <w:rPr>
          <w:rFonts w:ascii="Times New Roman" w:hAnsi="Times New Roman" w:cs="Times New Roman"/>
          <w:lang w:val="ru-RU"/>
        </w:rPr>
        <w:t>7,5 мг енрофлоксацину на 1 кг маси тіла, С</w:t>
      </w:r>
      <w:r w:rsidRPr="00A74446">
        <w:rPr>
          <w:rFonts w:ascii="Times New Roman" w:hAnsi="Times New Roman" w:cs="Times New Roman"/>
          <w:vertAlign w:val="subscript"/>
        </w:rPr>
        <w:t>max</w:t>
      </w:r>
      <w:r w:rsidRPr="00A74446">
        <w:rPr>
          <w:rFonts w:ascii="Times New Roman" w:hAnsi="Times New Roman" w:cs="Times New Roman"/>
          <w:lang w:val="ru-RU"/>
        </w:rPr>
        <w:t xml:space="preserve"> </w:t>
      </w:r>
      <w:r w:rsidRPr="00A74446">
        <w:rPr>
          <w:rFonts w:ascii="Times New Roman" w:hAnsi="Times New Roman" w:cs="Times New Roman"/>
          <w:lang w:val="uk-UA"/>
        </w:rPr>
        <w:t xml:space="preserve">в плазмі крові – 1326,39 мг/л спостерігають через 3 години. Широкий розподіл енрофлоксацину дозволяє досягти високої концентрації в тканинах, таких як: слизова оболонка травного каналу, легені, нирки, печінка, м’язова тканина, стінки кишечника і шкіра. Також спостерігається накопичення енрофлоксацину в цитоплазмі на рівні макрофагів, що дозволяє діяти на внутрішньоклітинні бактерії. </w:t>
      </w:r>
      <w:r w:rsidRPr="00A74446">
        <w:rPr>
          <w:rFonts w:ascii="Times New Roman" w:hAnsi="Times New Roman" w:cs="Times New Roman"/>
          <w:lang w:val="ru-RU"/>
        </w:rPr>
        <w:t>Енрофлоксацин в печінці метаболізується до ципрофлоксацину. Рівень метаболізму становить більше 40 %, а понад 50 % енрофлоксацину виводиться через нирки.</w:t>
      </w:r>
    </w:p>
    <w:p w:rsidR="00C214FC" w:rsidRPr="00A74446" w:rsidRDefault="00C214FC" w:rsidP="00DE37A4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4446">
        <w:rPr>
          <w:rFonts w:ascii="Times New Roman" w:hAnsi="Times New Roman"/>
          <w:kern w:val="0"/>
          <w:sz w:val="24"/>
          <w:szCs w:val="24"/>
          <w:lang w:eastAsia="ru-RU"/>
        </w:rPr>
        <w:t>Мелоксикам</w:t>
      </w:r>
      <w:r w:rsidRPr="00A74446">
        <w:rPr>
          <w:rFonts w:ascii="Times New Roman" w:hAnsi="Times New Roman"/>
          <w:sz w:val="24"/>
          <w:szCs w:val="24"/>
        </w:rPr>
        <w:t xml:space="preserve"> — нестероїдний протизапальний препарат, що відноситься до групи  оксикамів. Мелоксикам має протизапальну, протиексудативну, знеболюючу та жарознижувальну дію за рахунок пригнічення синтезу простагландинів. Мелоксикам знижує інфільтрацію лейкоцитів у ділянці запалення, пригнічує колаген-індуковану агрегацію тромбоцитів. Мелоксикам також проявляє антиендотоксичну дію, що зумовлена пригніченням утворення тромбоксану B</w:t>
      </w:r>
      <w:r w:rsidRPr="00A74446">
        <w:rPr>
          <w:rFonts w:ascii="Times New Roman" w:hAnsi="Times New Roman"/>
          <w:sz w:val="24"/>
          <w:szCs w:val="24"/>
          <w:vertAlign w:val="subscript"/>
        </w:rPr>
        <w:t>2</w:t>
      </w:r>
      <w:r w:rsidRPr="00A74446">
        <w:rPr>
          <w:rFonts w:ascii="Times New Roman" w:hAnsi="Times New Roman"/>
          <w:sz w:val="24"/>
          <w:szCs w:val="24"/>
        </w:rPr>
        <w:t xml:space="preserve">, спричиненого потраплянням ендотоксину </w:t>
      </w:r>
      <w:r w:rsidRPr="00A74446">
        <w:rPr>
          <w:rFonts w:ascii="Times New Roman" w:hAnsi="Times New Roman"/>
          <w:i/>
          <w:iCs/>
          <w:sz w:val="24"/>
          <w:szCs w:val="24"/>
        </w:rPr>
        <w:t>E. coli</w:t>
      </w:r>
      <w:r w:rsidRPr="00A74446">
        <w:rPr>
          <w:rFonts w:ascii="Times New Roman" w:hAnsi="Times New Roman"/>
          <w:sz w:val="24"/>
          <w:szCs w:val="24"/>
        </w:rPr>
        <w:t xml:space="preserve"> в організм телят, дійних корів та свиней.</w:t>
      </w:r>
    </w:p>
    <w:p w:rsidR="00C214FC" w:rsidRPr="00A74446" w:rsidRDefault="00C214FC" w:rsidP="00DE37A4">
      <w:pPr>
        <w:pStyle w:val="23"/>
        <w:spacing w:before="0" w:after="0" w:line="240" w:lineRule="auto"/>
        <w:ind w:firstLine="567"/>
        <w:jc w:val="both"/>
        <w:rPr>
          <w:color w:val="auto"/>
          <w:sz w:val="24"/>
          <w:szCs w:val="24"/>
          <w:lang w:val="uk-UA"/>
        </w:rPr>
      </w:pPr>
      <w:r w:rsidRPr="00A74446">
        <w:rPr>
          <w:sz w:val="24"/>
          <w:szCs w:val="24"/>
          <w:lang w:val="uk-UA"/>
        </w:rPr>
        <w:t xml:space="preserve">Абсорбція: після підшкірного введення молодняку великої рогатої худоби мелоксикаму в дозі 0,5 мг на 1 кг маси тіла </w:t>
      </w:r>
      <w:r w:rsidRPr="00A74446">
        <w:rPr>
          <w:color w:val="auto"/>
          <w:sz w:val="24"/>
          <w:szCs w:val="24"/>
          <w:lang w:val="uk-UA"/>
        </w:rPr>
        <w:t>максимальна його концентрація C</w:t>
      </w:r>
      <w:r w:rsidRPr="00A74446">
        <w:rPr>
          <w:color w:val="auto"/>
          <w:sz w:val="24"/>
          <w:szCs w:val="24"/>
          <w:vertAlign w:val="subscript"/>
          <w:lang w:val="uk-UA"/>
        </w:rPr>
        <w:t>max</w:t>
      </w:r>
      <w:r w:rsidRPr="00A74446">
        <w:rPr>
          <w:color w:val="auto"/>
          <w:sz w:val="24"/>
          <w:szCs w:val="24"/>
          <w:lang w:val="uk-UA"/>
        </w:rPr>
        <w:t xml:space="preserve"> була виявлена через 7,7 год і становила 2,1 мкг/мл, а у корів у період лактації через 4 години  і становила 2,7 мкг/мл.</w:t>
      </w:r>
    </w:p>
    <w:p w:rsidR="00C214FC" w:rsidRPr="00A74446" w:rsidRDefault="00C214FC" w:rsidP="00DE37A4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4446">
        <w:rPr>
          <w:rFonts w:ascii="Times New Roman" w:hAnsi="Times New Roman"/>
          <w:iCs/>
          <w:sz w:val="24"/>
          <w:szCs w:val="24"/>
        </w:rPr>
        <w:t>Розподіл:</w:t>
      </w:r>
      <w:r w:rsidRPr="00A74446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A74446">
        <w:rPr>
          <w:rFonts w:ascii="Times New Roman" w:hAnsi="Times New Roman"/>
          <w:iCs/>
          <w:sz w:val="24"/>
          <w:szCs w:val="24"/>
        </w:rPr>
        <w:t>п</w:t>
      </w:r>
      <w:r w:rsidRPr="00A74446">
        <w:rPr>
          <w:rFonts w:ascii="Times New Roman" w:hAnsi="Times New Roman"/>
          <w:sz w:val="24"/>
          <w:szCs w:val="24"/>
        </w:rPr>
        <w:t>онад 98 % мелоксикаму зв’язується з білками плазми крові.</w:t>
      </w:r>
      <w:r w:rsidRPr="00A74446">
        <w:rPr>
          <w:sz w:val="24"/>
          <w:szCs w:val="24"/>
        </w:rPr>
        <w:t xml:space="preserve"> </w:t>
      </w:r>
      <w:r w:rsidRPr="00A74446">
        <w:rPr>
          <w:rFonts w:ascii="Times New Roman" w:hAnsi="Times New Roman"/>
          <w:sz w:val="24"/>
          <w:szCs w:val="24"/>
        </w:rPr>
        <w:t>Найбільші концентрації мелоксикаму знаходять у плазмі крові  Високі концентрації мелоксикаму спостерігають в печінці та нирках, відносно низькі концентрації – у скелетних м’язах та жирі.</w:t>
      </w:r>
    </w:p>
    <w:p w:rsidR="00C214FC" w:rsidRPr="00A74446" w:rsidRDefault="00C214FC" w:rsidP="00DE37A4">
      <w:pPr>
        <w:pStyle w:val="23"/>
        <w:spacing w:before="0" w:after="0" w:line="240" w:lineRule="auto"/>
        <w:ind w:firstLine="567"/>
        <w:jc w:val="both"/>
        <w:rPr>
          <w:sz w:val="24"/>
          <w:szCs w:val="24"/>
          <w:lang w:val="uk-UA"/>
        </w:rPr>
      </w:pPr>
      <w:r w:rsidRPr="00A74446">
        <w:rPr>
          <w:sz w:val="24"/>
          <w:szCs w:val="24"/>
          <w:lang w:val="uk-UA"/>
        </w:rPr>
        <w:t xml:space="preserve">Метаболізм: </w:t>
      </w:r>
      <w:r w:rsidRPr="00A74446">
        <w:rPr>
          <w:sz w:val="24"/>
          <w:szCs w:val="24"/>
          <w:lang w:val="ru-RU"/>
        </w:rPr>
        <w:t>мелоксикам метаболізується до спирту, похідної кислоти та декількох полярних метаболітів. Всі основні метаболіти розглядаються як фармакологічно неактивні.</w:t>
      </w:r>
    </w:p>
    <w:p w:rsidR="00C214FC" w:rsidRPr="00A74446" w:rsidRDefault="00C214FC" w:rsidP="00DE37A4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4446">
        <w:rPr>
          <w:rFonts w:ascii="Times New Roman" w:hAnsi="Times New Roman"/>
          <w:sz w:val="24"/>
          <w:szCs w:val="24"/>
        </w:rPr>
        <w:t xml:space="preserve">Екскреція: </w:t>
      </w:r>
      <w:r w:rsidRPr="00A74446">
        <w:rPr>
          <w:rFonts w:ascii="Times New Roman" w:hAnsi="Times New Roman"/>
          <w:sz w:val="24"/>
          <w:szCs w:val="24"/>
          <w:lang w:val="ru-RU"/>
        </w:rPr>
        <w:t xml:space="preserve">У великої рогатої худоби мелоксикам виводиться, в основному, з молоком та жовчю, тоді як у сечі містяться лише його незначні кількості. У свиней з сечею та жовчю виводиться лише незначна кількість </w:t>
      </w:r>
      <w:r w:rsidRPr="00A74446">
        <w:rPr>
          <w:rStyle w:val="af1"/>
          <w:rFonts w:ascii="Times New Roman" w:hAnsi="Times New Roman"/>
          <w:i w:val="0"/>
          <w:iCs/>
          <w:sz w:val="24"/>
          <w:szCs w:val="24"/>
          <w:lang w:val="ru-RU"/>
        </w:rPr>
        <w:t>мелоксикаму</w:t>
      </w:r>
      <w:r w:rsidRPr="00A74446">
        <w:rPr>
          <w:rFonts w:ascii="Times New Roman" w:hAnsi="Times New Roman"/>
          <w:i/>
          <w:sz w:val="24"/>
          <w:szCs w:val="24"/>
          <w:lang w:val="ru-RU"/>
        </w:rPr>
        <w:t>.</w:t>
      </w:r>
      <w:r w:rsidRPr="00A7444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74446">
        <w:rPr>
          <w:rFonts w:ascii="Times New Roman" w:hAnsi="Times New Roman"/>
          <w:sz w:val="24"/>
          <w:szCs w:val="24"/>
        </w:rPr>
        <w:t xml:space="preserve">За підшкірного введення мелоксикаму у лактуючих корів </w:t>
      </w:r>
    </w:p>
    <w:p w:rsidR="00C214FC" w:rsidRPr="00A74446" w:rsidRDefault="00C214FC" w:rsidP="00DE37A4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214FC" w:rsidRPr="00A74446" w:rsidRDefault="00C214FC" w:rsidP="00681778">
      <w:pPr>
        <w:ind w:firstLine="567"/>
        <w:jc w:val="right"/>
        <w:rPr>
          <w:rFonts w:ascii="Times New Roman" w:hAnsi="Times New Roman" w:cs="Times New Roman"/>
          <w:color w:val="auto"/>
          <w:lang w:val="ru-RU"/>
        </w:rPr>
      </w:pPr>
      <w:r w:rsidRPr="00A74446">
        <w:rPr>
          <w:rFonts w:ascii="Times New Roman" w:hAnsi="Times New Roman" w:cs="Times New Roman"/>
          <w:color w:val="auto"/>
          <w:lang w:val="ru-RU"/>
        </w:rPr>
        <w:lastRenderedPageBreak/>
        <w:t>Продовження додатку 1</w:t>
      </w:r>
    </w:p>
    <w:p w:rsidR="00C214FC" w:rsidRPr="00A74446" w:rsidRDefault="00C214FC" w:rsidP="00681778">
      <w:pPr>
        <w:pStyle w:val="Standard"/>
        <w:ind w:firstLine="567"/>
        <w:jc w:val="right"/>
        <w:rPr>
          <w:rFonts w:ascii="Times New Roman" w:hAnsi="Times New Roman"/>
          <w:szCs w:val="24"/>
          <w:lang w:val="uk-UA"/>
        </w:rPr>
      </w:pPr>
      <w:r w:rsidRPr="00A74446">
        <w:rPr>
          <w:rFonts w:ascii="Times New Roman" w:hAnsi="Times New Roman"/>
          <w:szCs w:val="24"/>
        </w:rPr>
        <w:t>до реєстраційного посвідчення</w:t>
      </w:r>
      <w:r w:rsidRPr="00A74446">
        <w:rPr>
          <w:rFonts w:ascii="Times New Roman" w:hAnsi="Times New Roman"/>
          <w:szCs w:val="24"/>
          <w:lang w:val="uk-UA"/>
        </w:rPr>
        <w:t xml:space="preserve"> АА-09874-01-25</w:t>
      </w:r>
    </w:p>
    <w:p w:rsidR="00C214FC" w:rsidRPr="00A74446" w:rsidRDefault="00C214FC" w:rsidP="00DE37A4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214FC" w:rsidRPr="00A74446" w:rsidRDefault="00C214FC" w:rsidP="00DE37A4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214FC" w:rsidRPr="00A74446" w:rsidRDefault="00C214FC" w:rsidP="00DE37A4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4446">
        <w:rPr>
          <w:rFonts w:ascii="Times New Roman" w:hAnsi="Times New Roman"/>
          <w:sz w:val="24"/>
          <w:szCs w:val="24"/>
        </w:rPr>
        <w:t>період напіввиведення становить 26-17,5 годин. Приблизно 50% введеної дози виводиться через сечу, а решта – з фекаліями.</w:t>
      </w:r>
    </w:p>
    <w:p w:rsidR="00C214FC" w:rsidRPr="00A74446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A74446">
        <w:rPr>
          <w:rFonts w:ascii="Times New Roman" w:hAnsi="Times New Roman" w:cs="Times New Roman"/>
          <w:b/>
          <w:color w:val="auto"/>
          <w:lang w:val="uk-UA"/>
        </w:rPr>
        <w:t>5. Клінічні особливості</w:t>
      </w:r>
    </w:p>
    <w:p w:rsidR="00C214FC" w:rsidRPr="00A74446" w:rsidRDefault="00C214FC" w:rsidP="00DE37A4">
      <w:pPr>
        <w:pStyle w:val="21"/>
        <w:ind w:firstLine="567"/>
        <w:rPr>
          <w:b/>
          <w:color w:val="auto"/>
        </w:rPr>
      </w:pPr>
      <w:r w:rsidRPr="00A74446">
        <w:rPr>
          <w:b/>
          <w:color w:val="auto"/>
        </w:rPr>
        <w:t>5.1 Вид тварин</w:t>
      </w:r>
    </w:p>
    <w:p w:rsidR="00C214FC" w:rsidRPr="00A74446" w:rsidRDefault="00C214FC" w:rsidP="00DE37A4">
      <w:pPr>
        <w:pStyle w:val="21"/>
        <w:ind w:firstLine="567"/>
        <w:rPr>
          <w:color w:val="auto"/>
        </w:rPr>
      </w:pPr>
      <w:r w:rsidRPr="00A74446">
        <w:rPr>
          <w:color w:val="auto"/>
        </w:rPr>
        <w:t>Велика рогата худоба, свині</w:t>
      </w:r>
    </w:p>
    <w:p w:rsidR="00C214FC" w:rsidRPr="00A74446" w:rsidRDefault="00C214FC" w:rsidP="00DE37A4">
      <w:pPr>
        <w:pStyle w:val="a3"/>
        <w:ind w:firstLine="567"/>
        <w:rPr>
          <w:color w:val="auto"/>
        </w:rPr>
      </w:pPr>
      <w:r w:rsidRPr="00A74446">
        <w:rPr>
          <w:color w:val="auto"/>
        </w:rPr>
        <w:t>5.2 Показання до застосування</w:t>
      </w:r>
    </w:p>
    <w:p w:rsidR="00C214FC" w:rsidRPr="000009A8" w:rsidRDefault="00C214FC" w:rsidP="00DE37A4">
      <w:pPr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bookmarkStart w:id="1" w:name="_Hlk207808382"/>
      <w:r w:rsidRPr="00A74446">
        <w:rPr>
          <w:rFonts w:ascii="Times New Roman" w:hAnsi="Times New Roman" w:cs="Times New Roman"/>
          <w:color w:val="auto"/>
          <w:lang w:val="uk-UA"/>
        </w:rPr>
        <w:t xml:space="preserve">Велика рогата худоба: лікування тварин, хворих на метрит, а також  за захворювань органів дихання, спричинених </w:t>
      </w:r>
      <w:r w:rsidRPr="00A74446">
        <w:rPr>
          <w:rFonts w:ascii="Times New Roman" w:hAnsi="Times New Roman" w:cs="Times New Roman"/>
          <w:i/>
          <w:iCs/>
          <w:lang w:val="uk-UA"/>
        </w:rPr>
        <w:t>Mannheimia haemolytica, Pasteurella multocida, Haemophilus somni</w:t>
      </w:r>
      <w:r w:rsidRPr="00A74446">
        <w:rPr>
          <w:rFonts w:ascii="Times New Roman" w:hAnsi="Times New Roman" w:cs="Times New Roman"/>
          <w:lang w:val="uk-UA"/>
        </w:rPr>
        <w:t xml:space="preserve"> та </w:t>
      </w:r>
      <w:r w:rsidRPr="00A74446">
        <w:rPr>
          <w:rFonts w:ascii="Times New Roman" w:hAnsi="Times New Roman" w:cs="Times New Roman"/>
          <w:i/>
          <w:iCs/>
          <w:lang w:val="uk-UA"/>
        </w:rPr>
        <w:t>Mycoplasma spp.,</w:t>
      </w:r>
      <w:r w:rsidRPr="00A74446">
        <w:rPr>
          <w:rFonts w:ascii="Times New Roman" w:hAnsi="Times New Roman" w:cs="Times New Roman"/>
          <w:i/>
          <w:color w:val="auto"/>
          <w:lang w:val="uk-UA"/>
        </w:rPr>
        <w:t xml:space="preserve"> Staphylococcus aureus,</w:t>
      </w:r>
      <w:r w:rsidRPr="00A74446">
        <w:rPr>
          <w:rFonts w:ascii="Times New Roman" w:hAnsi="Times New Roman" w:cs="Times New Roman"/>
          <w:color w:val="auto"/>
          <w:lang w:val="uk-UA"/>
        </w:rPr>
        <w:t xml:space="preserve"> чутливими до енрофлоксацину.</w:t>
      </w:r>
      <w:r w:rsidRPr="00A74446">
        <w:rPr>
          <w:lang w:val="uk-UA"/>
        </w:rPr>
        <w:t xml:space="preserve"> </w:t>
      </w:r>
      <w:r w:rsidRPr="00A74446">
        <w:rPr>
          <w:rFonts w:ascii="Times New Roman" w:hAnsi="Times New Roman" w:cs="Times New Roman"/>
          <w:lang w:val="uk-UA"/>
        </w:rPr>
        <w:t>Лікування корів, хворих на підгостру та гостру форму маститу, що спричинені</w:t>
      </w:r>
      <w:r w:rsidRPr="00A74446">
        <w:rPr>
          <w:rFonts w:ascii="Times New Roman" w:hAnsi="Times New Roman" w:cs="Times New Roman"/>
          <w:i/>
          <w:lang w:val="uk-UA"/>
        </w:rPr>
        <w:t xml:space="preserve"> Е. </w:t>
      </w:r>
      <w:r w:rsidRPr="00A74446">
        <w:rPr>
          <w:rFonts w:ascii="Times New Roman" w:hAnsi="Times New Roman" w:cs="Times New Roman"/>
          <w:i/>
          <w:lang w:val="sl-SI"/>
        </w:rPr>
        <w:t>coli</w:t>
      </w:r>
      <w:r w:rsidRPr="00A74446">
        <w:rPr>
          <w:rFonts w:ascii="Times New Roman" w:hAnsi="Times New Roman" w:cs="Times New Roman"/>
          <w:lang w:val="uk-UA"/>
        </w:rPr>
        <w:t>, та іншими збудниками чутливими до енрофлоксацину.</w:t>
      </w:r>
    </w:p>
    <w:p w:rsidR="00C214FC" w:rsidRPr="00E90E01" w:rsidRDefault="00C214FC" w:rsidP="00DE37A4">
      <w:pPr>
        <w:pStyle w:val="a3"/>
        <w:ind w:firstLine="567"/>
        <w:rPr>
          <w:b w:val="0"/>
          <w:iCs/>
          <w:color w:val="auto"/>
        </w:rPr>
      </w:pPr>
      <w:r w:rsidRPr="00A93236">
        <w:rPr>
          <w:b w:val="0"/>
          <w:color w:val="auto"/>
        </w:rPr>
        <w:t>Свині</w:t>
      </w:r>
      <w:r>
        <w:rPr>
          <w:b w:val="0"/>
          <w:color w:val="auto"/>
        </w:rPr>
        <w:t>: л</w:t>
      </w:r>
      <w:r w:rsidRPr="008C77AA">
        <w:rPr>
          <w:b w:val="0"/>
          <w:color w:val="auto"/>
        </w:rPr>
        <w:t xml:space="preserve">ікування тварин, хворих на синдром мастит-метрит-агалактія, а також </w:t>
      </w:r>
      <w:r>
        <w:rPr>
          <w:b w:val="0"/>
          <w:color w:val="auto"/>
        </w:rPr>
        <w:t>за</w:t>
      </w:r>
      <w:r w:rsidRPr="008C77AA">
        <w:rPr>
          <w:b w:val="0"/>
          <w:color w:val="auto"/>
        </w:rPr>
        <w:t xml:space="preserve"> захворюван</w:t>
      </w:r>
      <w:r>
        <w:rPr>
          <w:b w:val="0"/>
          <w:color w:val="auto"/>
        </w:rPr>
        <w:t>ь</w:t>
      </w:r>
      <w:r w:rsidRPr="008C77AA">
        <w:rPr>
          <w:b w:val="0"/>
          <w:color w:val="auto"/>
        </w:rPr>
        <w:t xml:space="preserve"> органів дихання, які спричинені </w:t>
      </w:r>
      <w:r w:rsidRPr="00E90E01">
        <w:rPr>
          <w:b w:val="0"/>
          <w:i/>
          <w:color w:val="auto"/>
          <w:lang w:val="en-US"/>
        </w:rPr>
        <w:t>Mycoplasma</w:t>
      </w:r>
      <w:r w:rsidRPr="00E90E01">
        <w:rPr>
          <w:b w:val="0"/>
          <w:i/>
          <w:color w:val="auto"/>
        </w:rPr>
        <w:t xml:space="preserve"> </w:t>
      </w:r>
      <w:r w:rsidRPr="00E90E01">
        <w:rPr>
          <w:b w:val="0"/>
          <w:i/>
          <w:color w:val="auto"/>
          <w:lang w:val="en-US"/>
        </w:rPr>
        <w:t>hyopneumoniae</w:t>
      </w:r>
      <w:r w:rsidRPr="00E90E01">
        <w:rPr>
          <w:b w:val="0"/>
          <w:i/>
          <w:color w:val="auto"/>
        </w:rPr>
        <w:t xml:space="preserve">, Actinobacillus pleuropneumoniae, Pasteurella multocida та  Haemophilus parasuis </w:t>
      </w:r>
      <w:r w:rsidRPr="00E90E01">
        <w:rPr>
          <w:b w:val="0"/>
          <w:iCs/>
          <w:color w:val="auto"/>
        </w:rPr>
        <w:t xml:space="preserve">чутливими до енрофлоксацину. </w:t>
      </w:r>
    </w:p>
    <w:bookmarkEnd w:id="1"/>
    <w:p w:rsidR="00C214FC" w:rsidRPr="008C77AA" w:rsidRDefault="00C214FC" w:rsidP="00DE37A4">
      <w:pPr>
        <w:ind w:firstLine="567"/>
        <w:rPr>
          <w:rFonts w:ascii="Times New Roman" w:hAnsi="Times New Roman" w:cs="Times New Roman"/>
          <w:b/>
          <w:color w:val="auto"/>
          <w:lang w:val="uk-UA"/>
        </w:rPr>
      </w:pPr>
      <w:r w:rsidRPr="008C77AA">
        <w:rPr>
          <w:rFonts w:ascii="Times New Roman" w:hAnsi="Times New Roman" w:cs="Times New Roman"/>
          <w:b/>
          <w:color w:val="auto"/>
          <w:lang w:val="uk-UA"/>
        </w:rPr>
        <w:t>5.3 Протипоказання</w:t>
      </w:r>
    </w:p>
    <w:p w:rsidR="00C214FC" w:rsidRDefault="00C214FC" w:rsidP="00DE37A4">
      <w:pPr>
        <w:ind w:firstLine="567"/>
        <w:rPr>
          <w:rFonts w:ascii="Times New Roman" w:hAnsi="Times New Roman" w:cs="Times New Roman"/>
          <w:color w:val="auto"/>
          <w:lang w:val="uk-UA"/>
        </w:rPr>
      </w:pPr>
      <w:r w:rsidRPr="008C77AA">
        <w:rPr>
          <w:rFonts w:ascii="Times New Roman" w:hAnsi="Times New Roman" w:cs="Times New Roman"/>
          <w:color w:val="auto"/>
          <w:lang w:val="uk-UA"/>
        </w:rPr>
        <w:t>Не застосовувати</w:t>
      </w:r>
      <w:r>
        <w:rPr>
          <w:rFonts w:ascii="Times New Roman" w:hAnsi="Times New Roman" w:cs="Times New Roman"/>
          <w:color w:val="auto"/>
          <w:lang w:val="uk-UA"/>
        </w:rPr>
        <w:t xml:space="preserve"> тваринам</w:t>
      </w:r>
      <w:r w:rsidRPr="008C77AA">
        <w:rPr>
          <w:rFonts w:ascii="Times New Roman" w:hAnsi="Times New Roman" w:cs="Times New Roman"/>
          <w:color w:val="auto"/>
          <w:lang w:val="uk-UA"/>
        </w:rPr>
        <w:t xml:space="preserve"> при підвищеній чутливості </w:t>
      </w:r>
      <w:r w:rsidRPr="00F8185D">
        <w:rPr>
          <w:rFonts w:ascii="Times New Roman" w:hAnsi="Times New Roman" w:cs="Times New Roman"/>
          <w:color w:val="auto"/>
          <w:lang w:val="uk-UA"/>
        </w:rPr>
        <w:t>до енрофлоксацину та мелоксикаму або до  будь-яких допоміжних речовин.</w:t>
      </w:r>
    </w:p>
    <w:p w:rsidR="00C214FC" w:rsidRDefault="00C214FC" w:rsidP="00DE37A4">
      <w:pPr>
        <w:ind w:firstLine="567"/>
        <w:rPr>
          <w:rFonts w:ascii="Times New Roman" w:hAnsi="Times New Roman" w:cs="Times New Roman"/>
          <w:color w:val="auto"/>
          <w:lang w:val="uk-UA"/>
        </w:rPr>
      </w:pPr>
      <w:r w:rsidRPr="00BD512D">
        <w:rPr>
          <w:rFonts w:ascii="Times New Roman" w:hAnsi="Times New Roman" w:cs="Times New Roman"/>
          <w:lang w:val="ru-RU"/>
        </w:rPr>
        <w:t>Не застосовувати тваринам з порушеннями функції печінки, нирок або серця, геморагічними порушеннями чи за наявності виразкових уражень травного каналу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color w:val="auto"/>
          <w:lang w:val="uk-UA"/>
        </w:rPr>
        <w:t xml:space="preserve"> За лікуванні діареї у великої рогатої худоби не застосовувати тваринам віком до 1 тижня, поросятам – віком до 2 днів. </w:t>
      </w:r>
    </w:p>
    <w:p w:rsidR="00C214FC" w:rsidRPr="00F8185D" w:rsidRDefault="00C214FC" w:rsidP="00DE37A4">
      <w:pPr>
        <w:ind w:firstLine="567"/>
        <w:rPr>
          <w:rFonts w:ascii="Times New Roman" w:hAnsi="Times New Roman" w:cs="Times New Roman"/>
          <w:lang w:val="ru-RU"/>
        </w:rPr>
      </w:pPr>
      <w:r w:rsidRPr="00F8185D">
        <w:rPr>
          <w:rFonts w:ascii="Times New Roman" w:hAnsi="Times New Roman" w:cs="Times New Roman"/>
          <w:lang w:val="ru-RU"/>
        </w:rPr>
        <w:t>Не застосовувати препарат одночасно з глюкокортикостероїдами та іншими нестероїдними протизапальними препаратами або антикоагулянтами.</w:t>
      </w:r>
    </w:p>
    <w:p w:rsidR="00C214FC" w:rsidRPr="00F8185D" w:rsidRDefault="00C214FC" w:rsidP="00DE37A4">
      <w:pPr>
        <w:ind w:firstLine="567"/>
        <w:jc w:val="both"/>
        <w:rPr>
          <w:rFonts w:ascii="Times New Roman" w:hAnsi="Times New Roman" w:cs="Times New Roman"/>
          <w:spacing w:val="-4"/>
          <w:lang w:val="uk-UA"/>
        </w:rPr>
      </w:pPr>
      <w:r w:rsidRPr="00F8185D">
        <w:rPr>
          <w:rFonts w:ascii="Times New Roman" w:hAnsi="Times New Roman" w:cs="Times New Roman"/>
          <w:lang w:val="uk-UA"/>
        </w:rPr>
        <w:t>Не застосовувати тваринам з клінічними ознаками захворювань центральної нервової системи, опорно-рухової системи або ушкодження хрящів суглобів</w:t>
      </w:r>
      <w:r w:rsidRPr="00F8185D">
        <w:rPr>
          <w:rFonts w:ascii="Times New Roman" w:hAnsi="Times New Roman" w:cs="Times New Roman"/>
          <w:spacing w:val="-4"/>
          <w:lang w:val="uk-UA"/>
        </w:rPr>
        <w:t>.</w:t>
      </w:r>
    </w:p>
    <w:p w:rsidR="00C214FC" w:rsidRPr="00F8185D" w:rsidRDefault="00C214FC" w:rsidP="00DE37A4">
      <w:pPr>
        <w:ind w:firstLine="567"/>
        <w:jc w:val="both"/>
        <w:rPr>
          <w:rFonts w:ascii="Times New Roman" w:hAnsi="Times New Roman" w:cs="Times New Roman"/>
          <w:spacing w:val="-4"/>
          <w:lang w:val="uk-UA"/>
        </w:rPr>
      </w:pPr>
      <w:r w:rsidRPr="00F8185D">
        <w:rPr>
          <w:rFonts w:ascii="Times New Roman" w:hAnsi="Times New Roman" w:cs="Times New Roman"/>
          <w:lang w:val="uk-UA"/>
        </w:rPr>
        <w:t>Не застосовувати разом з теофіліном, кофеїном та антипірином.</w:t>
      </w:r>
    </w:p>
    <w:p w:rsidR="00C214FC" w:rsidRPr="00F8185D" w:rsidRDefault="00C214FC" w:rsidP="00DE37A4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F8185D">
        <w:rPr>
          <w:rFonts w:ascii="Times New Roman" w:hAnsi="Times New Roman" w:cs="Times New Roman"/>
          <w:lang w:val="ru-RU"/>
        </w:rPr>
        <w:t>Не застосовувати одночасно з антибіотиками групи тетрациклінів та макролідами через можливий антагоністичний ефект</w:t>
      </w:r>
      <w:r w:rsidRPr="00F8185D">
        <w:rPr>
          <w:rFonts w:ascii="Times New Roman" w:hAnsi="Times New Roman" w:cs="Times New Roman"/>
          <w:lang w:val="uk-UA"/>
        </w:rPr>
        <w:t>.</w:t>
      </w:r>
    </w:p>
    <w:p w:rsidR="00C214FC" w:rsidRPr="00F8185D" w:rsidRDefault="00C214FC" w:rsidP="00DE37A4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F8185D">
        <w:rPr>
          <w:rFonts w:ascii="Times New Roman" w:hAnsi="Times New Roman" w:cs="Times New Roman"/>
          <w:lang w:val="uk-UA"/>
        </w:rPr>
        <w:t>Не застосовувати для профілактики.</w:t>
      </w:r>
    </w:p>
    <w:p w:rsidR="00C214FC" w:rsidRPr="00F8185D" w:rsidRDefault="00C214FC" w:rsidP="00DE37A4">
      <w:pPr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F8185D">
        <w:rPr>
          <w:rFonts w:ascii="Times New Roman" w:hAnsi="Times New Roman" w:cs="Times New Roman"/>
          <w:lang w:val="uk-UA"/>
        </w:rPr>
        <w:t>Не застосовувати при виявленні стійких штамів патогенних бактерій, резистентних до хінолонів.</w:t>
      </w:r>
    </w:p>
    <w:p w:rsidR="00C214FC" w:rsidRPr="00F8185D" w:rsidRDefault="00C214FC" w:rsidP="00DE37A4">
      <w:pPr>
        <w:ind w:firstLine="567"/>
        <w:rPr>
          <w:rFonts w:ascii="Times New Roman" w:hAnsi="Times New Roman" w:cs="Times New Roman"/>
          <w:b/>
          <w:color w:val="auto"/>
          <w:lang w:val="uk-UA"/>
        </w:rPr>
      </w:pPr>
      <w:r w:rsidRPr="00F8185D">
        <w:rPr>
          <w:rFonts w:ascii="Times New Roman" w:hAnsi="Times New Roman" w:cs="Times New Roman"/>
          <w:b/>
          <w:color w:val="auto"/>
          <w:lang w:val="uk-UA"/>
        </w:rPr>
        <w:t xml:space="preserve">5.4 Побічна дія </w:t>
      </w:r>
    </w:p>
    <w:p w:rsidR="00C214FC" w:rsidRPr="00F8185D" w:rsidRDefault="00C214FC" w:rsidP="00DE37A4">
      <w:pPr>
        <w:ind w:firstLine="567"/>
        <w:rPr>
          <w:rFonts w:ascii="Times New Roman" w:hAnsi="Times New Roman" w:cs="Times New Roman"/>
          <w:color w:val="auto"/>
          <w:lang w:val="uk-UA"/>
        </w:rPr>
      </w:pPr>
      <w:r w:rsidRPr="00F8185D">
        <w:rPr>
          <w:rFonts w:ascii="Times New Roman" w:hAnsi="Times New Roman" w:cs="Times New Roman"/>
          <w:color w:val="auto"/>
          <w:lang w:val="uk-UA"/>
        </w:rPr>
        <w:t xml:space="preserve">У рідкісних випадках у місці ін’єкції можуть виникати минущі запальні реакції шкіри (набряк, почервоніння), які зникають протягом кількох діб. </w:t>
      </w:r>
    </w:p>
    <w:p w:rsidR="00C214FC" w:rsidRDefault="00C214FC" w:rsidP="00DE37A4">
      <w:pPr>
        <w:ind w:firstLine="567"/>
        <w:rPr>
          <w:rFonts w:ascii="Times New Roman" w:hAnsi="Times New Roman" w:cs="Times New Roman"/>
          <w:color w:val="auto"/>
          <w:lang w:val="uk-UA"/>
        </w:rPr>
      </w:pPr>
      <w:r w:rsidRPr="00F8185D">
        <w:rPr>
          <w:rFonts w:ascii="Times New Roman" w:hAnsi="Times New Roman" w:cs="Times New Roman"/>
          <w:color w:val="auto"/>
          <w:lang w:val="uk-UA"/>
        </w:rPr>
        <w:t>У рідкісних випадках можливі шокові реакці</w:t>
      </w:r>
      <w:r>
        <w:rPr>
          <w:rFonts w:ascii="Times New Roman" w:hAnsi="Times New Roman" w:cs="Times New Roman"/>
          <w:color w:val="auto"/>
          <w:lang w:val="uk-UA"/>
        </w:rPr>
        <w:t>ї</w:t>
      </w:r>
      <w:r w:rsidRPr="00F8185D">
        <w:rPr>
          <w:rFonts w:ascii="Times New Roman" w:hAnsi="Times New Roman" w:cs="Times New Roman"/>
          <w:color w:val="auto"/>
          <w:lang w:val="uk-UA"/>
        </w:rPr>
        <w:t xml:space="preserve"> та розлади травного каналу.</w:t>
      </w:r>
      <w:r>
        <w:rPr>
          <w:rFonts w:ascii="Times New Roman" w:hAnsi="Times New Roman" w:cs="Times New Roman"/>
          <w:color w:val="auto"/>
          <w:lang w:val="uk-UA"/>
        </w:rPr>
        <w:t xml:space="preserve"> </w:t>
      </w:r>
    </w:p>
    <w:p w:rsidR="00C214FC" w:rsidRPr="008C77AA" w:rsidRDefault="00C214FC" w:rsidP="00DE37A4">
      <w:pPr>
        <w:ind w:firstLine="567"/>
        <w:rPr>
          <w:rFonts w:ascii="Times New Roman" w:hAnsi="Times New Roman" w:cs="Times New Roman"/>
          <w:b/>
          <w:color w:val="auto"/>
          <w:lang w:val="uk-UA"/>
        </w:rPr>
      </w:pPr>
      <w:r w:rsidRPr="008C77AA">
        <w:rPr>
          <w:rFonts w:ascii="Times New Roman" w:hAnsi="Times New Roman" w:cs="Times New Roman"/>
          <w:b/>
          <w:color w:val="auto"/>
          <w:lang w:val="uk-UA"/>
        </w:rPr>
        <w:t xml:space="preserve">5.5 Особливі застереження при використанні  </w:t>
      </w:r>
    </w:p>
    <w:p w:rsidR="00C214FC" w:rsidRPr="00BD512D" w:rsidRDefault="00C214FC" w:rsidP="00DE37A4">
      <w:pPr>
        <w:keepNext/>
        <w:keepLines/>
        <w:shd w:val="clear" w:color="auto" w:fill="FFFFFF"/>
        <w:ind w:firstLine="567"/>
        <w:contextualSpacing/>
        <w:jc w:val="both"/>
        <w:rPr>
          <w:rFonts w:ascii="Times New Roman" w:hAnsi="Times New Roman" w:cs="Times New Roman"/>
          <w:lang w:val="uk-UA"/>
        </w:rPr>
      </w:pPr>
      <w:r w:rsidRPr="00BD512D">
        <w:rPr>
          <w:rFonts w:ascii="Times New Roman" w:hAnsi="Times New Roman" w:cs="Times New Roman"/>
          <w:lang w:val="uk-UA"/>
        </w:rPr>
        <w:t>При застосуванні ветеринарного лікарського засобу слід враховувати національну антимікробну політику.</w:t>
      </w:r>
      <w:r>
        <w:rPr>
          <w:rFonts w:ascii="Times New Roman" w:hAnsi="Times New Roman" w:cs="Times New Roman"/>
          <w:lang w:val="uk-UA"/>
        </w:rPr>
        <w:t xml:space="preserve"> </w:t>
      </w:r>
      <w:r w:rsidRPr="00BD512D">
        <w:rPr>
          <w:rFonts w:ascii="Times New Roman" w:hAnsi="Times New Roman" w:cs="Times New Roman"/>
          <w:lang w:val="uk-UA"/>
        </w:rPr>
        <w:t>Фторхінолони призначають для лікування клінічних станів, які погано піддаються терапії, або станів, які можуть погано піддаватися терапії іншими класами протимікробних препаратів. Препарат слід застосовувати з урахуванням результатів тесту на чутливість мікроорганізм</w:t>
      </w:r>
      <w:r>
        <w:rPr>
          <w:rFonts w:ascii="Times New Roman" w:hAnsi="Times New Roman" w:cs="Times New Roman"/>
          <w:lang w:val="uk-UA"/>
        </w:rPr>
        <w:t xml:space="preserve">ів-збудників до енрофлоксацину. </w:t>
      </w:r>
      <w:r w:rsidRPr="00BD512D">
        <w:rPr>
          <w:rFonts w:ascii="Times New Roman" w:hAnsi="Times New Roman" w:cs="Times New Roman"/>
          <w:lang w:val="uk-UA"/>
        </w:rPr>
        <w:t>Використання ветеринарного лікарського засобу з відхиленням від листівки-вкладки може збільшити поширеність бактерій, стійких до фторхінолонів, і може знизити ефективність лікування іншими хінолонами через можливість перехресної резистентності.</w:t>
      </w:r>
    </w:p>
    <w:p w:rsidR="00C214FC" w:rsidRPr="00BD512D" w:rsidRDefault="00C214FC" w:rsidP="00DE37A4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BD512D">
        <w:rPr>
          <w:rFonts w:ascii="Times New Roman" w:hAnsi="Times New Roman" w:cs="Times New Roman"/>
          <w:lang w:val="uk-UA"/>
        </w:rPr>
        <w:t>Якщо клінічне покращення не спостерігається протягом 2-3 діб терапії, може знадобитися повторна оцінка лікування та тестування на чутливість.</w:t>
      </w:r>
    </w:p>
    <w:p w:rsidR="00C214FC" w:rsidRPr="00BD512D" w:rsidRDefault="00C214FC" w:rsidP="00DE37A4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5E7152">
        <w:rPr>
          <w:rFonts w:ascii="Times New Roman" w:hAnsi="Times New Roman" w:cs="Times New Roman"/>
          <w:bCs/>
          <w:lang w:val="uk-UA"/>
        </w:rPr>
        <w:t>Не застосовувати препарат тваринам із сильним зневодненням, гіповолемією або гіпотензією, яким потрібна парентеральна регідратація, оскільки існує потенційний ризик виникнення нефротоксичності.</w:t>
      </w:r>
    </w:p>
    <w:p w:rsidR="00C214FC" w:rsidRPr="008C77AA" w:rsidRDefault="00C214FC" w:rsidP="00DE37A4">
      <w:pPr>
        <w:ind w:firstLine="567"/>
        <w:rPr>
          <w:rFonts w:ascii="Times New Roman" w:hAnsi="Times New Roman" w:cs="Times New Roman"/>
          <w:b/>
          <w:color w:val="auto"/>
          <w:lang w:val="uk-UA"/>
        </w:rPr>
      </w:pPr>
      <w:r w:rsidRPr="008C77AA">
        <w:rPr>
          <w:rFonts w:ascii="Times New Roman" w:hAnsi="Times New Roman" w:cs="Times New Roman"/>
          <w:b/>
          <w:color w:val="auto"/>
          <w:lang w:val="uk-UA"/>
        </w:rPr>
        <w:t>5.6 Застосування під час тільності та лактації</w:t>
      </w:r>
    </w:p>
    <w:p w:rsidR="00C214FC" w:rsidRPr="008C77AA" w:rsidRDefault="00C214FC" w:rsidP="00DE37A4">
      <w:pPr>
        <w:ind w:firstLine="567"/>
        <w:rPr>
          <w:rFonts w:ascii="Times New Roman" w:hAnsi="Times New Roman" w:cs="Times New Roman"/>
          <w:color w:val="auto"/>
          <w:lang w:val="uk-UA"/>
        </w:rPr>
      </w:pPr>
      <w:r w:rsidRPr="008C77AA">
        <w:rPr>
          <w:rFonts w:ascii="Times New Roman" w:hAnsi="Times New Roman" w:cs="Times New Roman"/>
          <w:color w:val="auto"/>
          <w:lang w:val="uk-UA"/>
        </w:rPr>
        <w:t xml:space="preserve">Препарат може застосовуватись під час </w:t>
      </w:r>
      <w:r>
        <w:rPr>
          <w:rFonts w:ascii="Times New Roman" w:hAnsi="Times New Roman" w:cs="Times New Roman"/>
          <w:color w:val="auto"/>
          <w:lang w:val="uk-UA"/>
        </w:rPr>
        <w:t>вагітності</w:t>
      </w:r>
      <w:r w:rsidRPr="008C77AA">
        <w:rPr>
          <w:rFonts w:ascii="Times New Roman" w:hAnsi="Times New Roman" w:cs="Times New Roman"/>
          <w:color w:val="auto"/>
          <w:lang w:val="uk-UA"/>
        </w:rPr>
        <w:t xml:space="preserve"> та лактації.</w:t>
      </w:r>
    </w:p>
    <w:p w:rsidR="00C214FC" w:rsidRPr="008C77AA" w:rsidRDefault="00C214FC" w:rsidP="00DE37A4">
      <w:pPr>
        <w:pStyle w:val="21"/>
        <w:ind w:firstLine="567"/>
        <w:rPr>
          <w:b/>
          <w:color w:val="auto"/>
        </w:rPr>
      </w:pPr>
      <w:r w:rsidRPr="008C77AA">
        <w:rPr>
          <w:b/>
          <w:color w:val="auto"/>
        </w:rPr>
        <w:t>5.7 Взаємодія з іншими засобами або інші форми взаємодії</w:t>
      </w:r>
    </w:p>
    <w:p w:rsidR="00C214FC" w:rsidRDefault="00C214FC" w:rsidP="00681778">
      <w:pPr>
        <w:ind w:firstLine="567"/>
        <w:jc w:val="right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>Продовження додатку 1</w:t>
      </w:r>
    </w:p>
    <w:p w:rsidR="00C214FC" w:rsidRPr="000D22EE" w:rsidRDefault="00C214FC" w:rsidP="00681778">
      <w:pPr>
        <w:pStyle w:val="Standard"/>
        <w:ind w:firstLine="567"/>
        <w:jc w:val="right"/>
        <w:rPr>
          <w:rFonts w:ascii="Times New Roman" w:hAnsi="Times New Roman"/>
          <w:szCs w:val="24"/>
          <w:lang w:val="uk-UA"/>
        </w:rPr>
      </w:pPr>
      <w:r w:rsidRPr="008C77AA">
        <w:rPr>
          <w:rFonts w:ascii="Times New Roman" w:hAnsi="Times New Roman"/>
          <w:szCs w:val="24"/>
        </w:rPr>
        <w:t>до реєстраційного посвідчення</w:t>
      </w:r>
      <w:r>
        <w:rPr>
          <w:rFonts w:ascii="Times New Roman" w:hAnsi="Times New Roman"/>
          <w:szCs w:val="24"/>
          <w:lang w:val="uk-UA"/>
        </w:rPr>
        <w:t xml:space="preserve"> АА-09874-01-25</w:t>
      </w:r>
    </w:p>
    <w:p w:rsidR="00C214FC" w:rsidRDefault="00C214FC" w:rsidP="00DE37A4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C214FC" w:rsidRDefault="00C214FC" w:rsidP="00DE37A4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C214FC" w:rsidRPr="00F8185D" w:rsidRDefault="00C214FC" w:rsidP="00DE37A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F8185D">
        <w:rPr>
          <w:rFonts w:ascii="Times New Roman" w:hAnsi="Times New Roman" w:cs="Times New Roman"/>
          <w:lang w:val="ru-RU"/>
        </w:rPr>
        <w:t>Не застосовувати препарат одночасно з глюкокортикостероїдами та іншими нестероїдними протизапальними препаратами або антикоагулянтами.</w:t>
      </w:r>
    </w:p>
    <w:p w:rsidR="00C214FC" w:rsidRPr="00F8185D" w:rsidRDefault="00C214FC" w:rsidP="00DE37A4">
      <w:pPr>
        <w:ind w:firstLine="567"/>
        <w:jc w:val="both"/>
        <w:rPr>
          <w:rFonts w:ascii="Times New Roman" w:hAnsi="Times New Roman" w:cs="Times New Roman"/>
          <w:spacing w:val="-4"/>
          <w:lang w:val="uk-UA"/>
        </w:rPr>
      </w:pPr>
      <w:r w:rsidRPr="00F8185D">
        <w:rPr>
          <w:rFonts w:ascii="Times New Roman" w:hAnsi="Times New Roman" w:cs="Times New Roman"/>
          <w:lang w:val="uk-UA"/>
        </w:rPr>
        <w:t>Не застосовувати разом з теофіліном, кофеїном та антипірином.</w:t>
      </w:r>
    </w:p>
    <w:p w:rsidR="00C214FC" w:rsidRPr="00F8185D" w:rsidRDefault="00C214FC" w:rsidP="00DE37A4">
      <w:pPr>
        <w:pStyle w:val="21"/>
        <w:ind w:firstLine="567"/>
        <w:rPr>
          <w:color w:val="auto"/>
        </w:rPr>
      </w:pPr>
      <w:r w:rsidRPr="00F8185D">
        <w:rPr>
          <w:lang w:val="ru-RU"/>
        </w:rPr>
        <w:t>Не застосовувати одночасно з антибіотиками групи тетрациклінів та макролідами через можливий антагоністичний ефект</w:t>
      </w:r>
      <w:r w:rsidRPr="00F8185D">
        <w:t>.</w:t>
      </w:r>
    </w:p>
    <w:p w:rsidR="00C214FC" w:rsidRPr="00F8185D" w:rsidRDefault="00C214FC" w:rsidP="00DE37A4">
      <w:pPr>
        <w:pStyle w:val="21"/>
        <w:ind w:firstLine="567"/>
        <w:rPr>
          <w:b/>
          <w:color w:val="auto"/>
        </w:rPr>
      </w:pPr>
      <w:r w:rsidRPr="00F8185D">
        <w:rPr>
          <w:b/>
          <w:color w:val="auto"/>
        </w:rPr>
        <w:t>5.8 Дози та способи введення</w:t>
      </w:r>
    </w:p>
    <w:p w:rsidR="00C214FC" w:rsidRPr="00F8185D" w:rsidRDefault="00C214FC" w:rsidP="00DE37A4">
      <w:pPr>
        <w:pStyle w:val="21"/>
        <w:ind w:firstLine="567"/>
        <w:rPr>
          <w:color w:val="auto"/>
        </w:rPr>
      </w:pPr>
      <w:r w:rsidRPr="00F8185D">
        <w:rPr>
          <w:i/>
          <w:color w:val="auto"/>
        </w:rPr>
        <w:t xml:space="preserve">Велика рогата худоба:  </w:t>
      </w:r>
      <w:r w:rsidRPr="00F8185D">
        <w:t xml:space="preserve">підшкірно одноразово в дозі </w:t>
      </w:r>
      <w:r w:rsidRPr="00F8185D">
        <w:rPr>
          <w:color w:val="auto"/>
        </w:rPr>
        <w:t xml:space="preserve">1 мл препарату на 25 кг маси тіла (що еквівалентно приблизно 7,5 мг енрофлоксацину та </w:t>
      </w:r>
      <w:r w:rsidRPr="00F8185D">
        <w:t>0,5 мг мелоксикаму 1 на кг маси тіла).</w:t>
      </w:r>
    </w:p>
    <w:p w:rsidR="00C214FC" w:rsidRPr="00F8185D" w:rsidRDefault="00C214FC" w:rsidP="00DE37A4">
      <w:pPr>
        <w:pStyle w:val="21"/>
        <w:ind w:firstLine="567"/>
      </w:pPr>
      <w:r w:rsidRPr="00F8185D">
        <w:rPr>
          <w:i/>
          <w:color w:val="auto"/>
        </w:rPr>
        <w:t xml:space="preserve">Свині: </w:t>
      </w:r>
      <w:r w:rsidRPr="00F8185D">
        <w:rPr>
          <w:color w:val="auto"/>
        </w:rPr>
        <w:t>внутрішньом’язово</w:t>
      </w:r>
      <w:r w:rsidRPr="00F8185D">
        <w:t xml:space="preserve"> одноразово в дозі </w:t>
      </w:r>
      <w:r w:rsidRPr="00F8185D">
        <w:rPr>
          <w:color w:val="auto"/>
        </w:rPr>
        <w:t xml:space="preserve">1 мл препарату на 25 кг маси тіла (що еквівалентно приблизно 7,5 мг енрофлоксацину та </w:t>
      </w:r>
      <w:r w:rsidRPr="00F8185D">
        <w:t>0,5 мг мелоксикаму 1 на кг маси тіла).</w:t>
      </w:r>
    </w:p>
    <w:p w:rsidR="00C214FC" w:rsidRPr="00F8185D" w:rsidRDefault="00C214FC" w:rsidP="00DE37A4">
      <w:pPr>
        <w:pStyle w:val="21"/>
        <w:ind w:firstLine="567"/>
        <w:rPr>
          <w:color w:val="auto"/>
        </w:rPr>
      </w:pPr>
      <w:r w:rsidRPr="00F8185D">
        <w:t>У випадках важких або хронічних інфекцій органів дихання може знадобитися повторна ін’єкція через 48 годин. Повторні ін’єкції слід вводити в різні місця.</w:t>
      </w:r>
    </w:p>
    <w:p w:rsidR="00C214FC" w:rsidRPr="00F8185D" w:rsidRDefault="00C214FC" w:rsidP="00DE37A4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F8185D">
        <w:rPr>
          <w:rFonts w:ascii="Times New Roman" w:hAnsi="Times New Roman" w:cs="Times New Roman"/>
          <w:b/>
          <w:color w:val="auto"/>
          <w:lang w:val="uk-UA"/>
        </w:rPr>
        <w:t>5.9 Передозування (симптоми, невідкладні заходи, антидоти)</w:t>
      </w:r>
    </w:p>
    <w:p w:rsidR="00C214FC" w:rsidRPr="008C77AA" w:rsidRDefault="00C214FC" w:rsidP="00DE37A4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F8185D">
        <w:rPr>
          <w:rFonts w:ascii="Times New Roman" w:hAnsi="Times New Roman" w:cs="Times New Roman"/>
          <w:color w:val="auto"/>
          <w:lang w:val="uk-UA"/>
        </w:rPr>
        <w:t>За збільшення рекомендованої дози у 2 рази ознак непереносимості у великої рогатої худоби,</w:t>
      </w:r>
      <w:r>
        <w:rPr>
          <w:rFonts w:ascii="Times New Roman" w:hAnsi="Times New Roman" w:cs="Times New Roman"/>
          <w:color w:val="auto"/>
          <w:lang w:val="uk-UA"/>
        </w:rPr>
        <w:t xml:space="preserve"> та свиней не спостерігалось. Не перевищувати рекомендовану дозу. При ознаках передозування застосовують симптоматичне лікування.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8C77AA">
        <w:rPr>
          <w:rFonts w:ascii="Times New Roman" w:hAnsi="Times New Roman" w:cs="Times New Roman"/>
          <w:b/>
          <w:color w:val="auto"/>
          <w:lang w:val="uk-UA"/>
        </w:rPr>
        <w:t>5.10 Спеціальні застереження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8C77AA">
        <w:rPr>
          <w:rFonts w:ascii="Times New Roman" w:hAnsi="Times New Roman" w:cs="Times New Roman"/>
          <w:color w:val="auto"/>
          <w:lang w:val="uk-UA"/>
        </w:rPr>
        <w:t>Немає.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8C77AA">
        <w:rPr>
          <w:rFonts w:ascii="Times New Roman" w:hAnsi="Times New Roman" w:cs="Times New Roman"/>
          <w:b/>
          <w:color w:val="auto"/>
          <w:lang w:val="uk-UA"/>
        </w:rPr>
        <w:t>5.11 Період виведення (каренції)</w:t>
      </w:r>
    </w:p>
    <w:p w:rsidR="00C214FC" w:rsidRPr="00F8185D" w:rsidRDefault="00C214FC" w:rsidP="00DE37A4">
      <w:pPr>
        <w:ind w:firstLine="567"/>
        <w:rPr>
          <w:rFonts w:ascii="Times New Roman" w:hAnsi="Times New Roman" w:cs="Times New Roman"/>
          <w:color w:val="auto"/>
          <w:lang w:val="uk-UA"/>
        </w:rPr>
      </w:pPr>
      <w:r w:rsidRPr="00F8185D">
        <w:rPr>
          <w:rFonts w:ascii="Times New Roman" w:hAnsi="Times New Roman" w:cs="Times New Roman"/>
          <w:color w:val="auto"/>
          <w:lang w:val="uk-UA"/>
        </w:rPr>
        <w:t>Однократна ін’єкція: ВРХ (м’ясо) - 15 діб, молоко – 5 діб.</w:t>
      </w:r>
    </w:p>
    <w:p w:rsidR="00C214FC" w:rsidRPr="00F8185D" w:rsidRDefault="00C214FC" w:rsidP="00DE37A4">
      <w:pPr>
        <w:ind w:firstLine="567"/>
        <w:rPr>
          <w:rFonts w:ascii="Times New Roman" w:hAnsi="Times New Roman" w:cs="Times New Roman"/>
          <w:color w:val="auto"/>
          <w:lang w:val="uk-UA"/>
        </w:rPr>
      </w:pPr>
      <w:r w:rsidRPr="00F8185D">
        <w:rPr>
          <w:rFonts w:ascii="Times New Roman" w:hAnsi="Times New Roman" w:cs="Times New Roman"/>
          <w:color w:val="auto"/>
          <w:lang w:val="uk-UA"/>
        </w:rPr>
        <w:t xml:space="preserve">Свині (м’ясо) – 12 діб. </w:t>
      </w:r>
    </w:p>
    <w:p w:rsidR="00C214FC" w:rsidRPr="00F8185D" w:rsidRDefault="00C214FC" w:rsidP="00DE37A4">
      <w:pPr>
        <w:pStyle w:val="a9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F8185D">
        <w:rPr>
          <w:rFonts w:ascii="Times New Roman" w:hAnsi="Times New Roman" w:cs="Times New Roman"/>
          <w:sz w:val="24"/>
          <w:szCs w:val="24"/>
          <w:lang w:val="uk-UA"/>
        </w:rPr>
        <w:t>Повторна ін’єкція</w:t>
      </w:r>
      <w:r w:rsidRPr="00F8185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: ВРХ (м’ясо) – 21 </w:t>
      </w:r>
      <w:r w:rsidRPr="00F8185D">
        <w:rPr>
          <w:rFonts w:ascii="Times New Roman" w:hAnsi="Times New Roman" w:cs="Times New Roman"/>
          <w:sz w:val="24"/>
          <w:szCs w:val="24"/>
          <w:lang w:val="uk-UA"/>
        </w:rPr>
        <w:t>доба</w:t>
      </w:r>
      <w:r w:rsidRPr="00F8185D">
        <w:rPr>
          <w:rFonts w:ascii="Times New Roman" w:hAnsi="Times New Roman" w:cs="Times New Roman"/>
          <w:color w:val="auto"/>
          <w:sz w:val="24"/>
          <w:szCs w:val="24"/>
          <w:lang w:val="uk-UA"/>
        </w:rPr>
        <w:t>, молоко – 7 діб. Свині (м’ясо) – 15 діб. Отримане до зазначеного терміну м'ясо та молоко утилізують або згодовують непродуктивним тваринам.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8C77AA">
        <w:rPr>
          <w:rFonts w:ascii="Times New Roman" w:hAnsi="Times New Roman" w:cs="Times New Roman"/>
          <w:b/>
          <w:color w:val="auto"/>
          <w:lang w:val="uk-UA"/>
        </w:rPr>
        <w:t>5.12. Спеціальні застереження для осіб і обслуговуючого персоналу, які вводять препарат</w:t>
      </w:r>
    </w:p>
    <w:p w:rsidR="00C214FC" w:rsidRPr="008C77AA" w:rsidRDefault="00C214FC" w:rsidP="00DE37A4">
      <w:pPr>
        <w:pStyle w:val="a3"/>
        <w:ind w:firstLine="567"/>
        <w:rPr>
          <w:b w:val="0"/>
          <w:color w:val="auto"/>
        </w:rPr>
      </w:pPr>
      <w:r w:rsidRPr="008C77AA">
        <w:rPr>
          <w:b w:val="0"/>
          <w:color w:val="auto"/>
        </w:rPr>
        <w:t>Людям з відомою гіперчутливістю до фторхінолонів слід уникати будь-якого контакту з препаратом. Уникати контакту зі шкірою та очима. При потраплянні препарату на шкіру або очі негайно промити водою. Після використання вимити руки. Слід  уникати  випадкової самоін’єкції. У разі випадкової самоін’єкції негайно звернутися до лікаря  показавши листівку вкладку або етикетку препарату.</w:t>
      </w:r>
    </w:p>
    <w:p w:rsidR="00C214FC" w:rsidRPr="008C77AA" w:rsidRDefault="00C214FC" w:rsidP="00DE37A4">
      <w:pPr>
        <w:pStyle w:val="a3"/>
        <w:ind w:firstLine="567"/>
        <w:rPr>
          <w:color w:val="auto"/>
        </w:rPr>
      </w:pPr>
      <w:r w:rsidRPr="008C77AA">
        <w:rPr>
          <w:color w:val="auto"/>
        </w:rPr>
        <w:t>6. Фармацевтичні особливості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8C77AA">
        <w:rPr>
          <w:rFonts w:ascii="Times New Roman" w:hAnsi="Times New Roman" w:cs="Times New Roman"/>
          <w:b/>
          <w:color w:val="auto"/>
          <w:lang w:val="uk-UA"/>
        </w:rPr>
        <w:t>6.1 Форми несумісності</w:t>
      </w:r>
    </w:p>
    <w:p w:rsidR="00C214FC" w:rsidRPr="00A6522B" w:rsidRDefault="00C214FC" w:rsidP="00DE37A4">
      <w:pPr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t>Не застосовується.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8C77AA">
        <w:rPr>
          <w:rFonts w:ascii="Times New Roman" w:hAnsi="Times New Roman" w:cs="Times New Roman"/>
          <w:b/>
          <w:color w:val="auto"/>
          <w:lang w:val="uk-UA"/>
        </w:rPr>
        <w:t>6.2 Термін придатності</w:t>
      </w:r>
    </w:p>
    <w:p w:rsidR="00C214FC" w:rsidRDefault="00C214FC" w:rsidP="00DE37A4">
      <w:pPr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t>2</w:t>
      </w:r>
      <w:r w:rsidRPr="008C77AA">
        <w:rPr>
          <w:rFonts w:ascii="Times New Roman" w:hAnsi="Times New Roman" w:cs="Times New Roman"/>
          <w:color w:val="auto"/>
          <w:lang w:val="uk-UA"/>
        </w:rPr>
        <w:t xml:space="preserve"> роки з дати виробництва в оригінальній упаковці. 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8C77AA">
        <w:rPr>
          <w:rFonts w:ascii="Times New Roman" w:hAnsi="Times New Roman"/>
          <w:color w:val="auto"/>
          <w:lang w:val="ru-RU"/>
        </w:rPr>
        <w:t xml:space="preserve">Після першого відбору з флакону препарат необхідно використати протягом </w:t>
      </w:r>
      <w:r>
        <w:rPr>
          <w:rFonts w:ascii="Times New Roman" w:hAnsi="Times New Roman" w:cs="Times New Roman"/>
          <w:color w:val="auto"/>
          <w:lang w:val="uk-UA"/>
        </w:rPr>
        <w:t xml:space="preserve">28 діб за </w:t>
      </w:r>
      <w:r w:rsidRPr="008C77AA">
        <w:rPr>
          <w:rFonts w:ascii="Times New Roman" w:hAnsi="Times New Roman" w:cs="Times New Roman"/>
          <w:color w:val="auto"/>
          <w:lang w:val="uk-UA"/>
        </w:rPr>
        <w:t>умо</w:t>
      </w:r>
      <w:r>
        <w:rPr>
          <w:rFonts w:ascii="Times New Roman" w:hAnsi="Times New Roman" w:cs="Times New Roman"/>
          <w:color w:val="auto"/>
          <w:lang w:val="uk-UA"/>
        </w:rPr>
        <w:t xml:space="preserve">в </w:t>
      </w:r>
      <w:r w:rsidRPr="008C77AA">
        <w:rPr>
          <w:rFonts w:ascii="Times New Roman" w:hAnsi="Times New Roman" w:cs="Times New Roman"/>
          <w:color w:val="auto"/>
          <w:lang w:val="uk-UA"/>
        </w:rPr>
        <w:t>зберігання у сухому темному місці за температури від 5 до 30</w:t>
      </w:r>
      <w:r w:rsidRPr="008C77AA">
        <w:rPr>
          <w:rFonts w:ascii="Times New Roman" w:hAnsi="Times New Roman" w:cs="Times New Roman"/>
          <w:color w:val="auto"/>
          <w:vertAlign w:val="superscript"/>
          <w:lang w:val="uk-UA"/>
        </w:rPr>
        <w:t xml:space="preserve"> </w:t>
      </w:r>
      <w:r w:rsidRPr="008C77AA">
        <w:rPr>
          <w:rFonts w:ascii="Times New Roman" w:hAnsi="Times New Roman" w:cs="Times New Roman"/>
          <w:color w:val="auto"/>
          <w:lang w:val="uk-UA"/>
        </w:rPr>
        <w:t>°С.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8C77AA">
        <w:rPr>
          <w:rFonts w:ascii="Times New Roman" w:hAnsi="Times New Roman" w:cs="Times New Roman"/>
          <w:b/>
          <w:color w:val="auto"/>
          <w:lang w:val="uk-UA"/>
        </w:rPr>
        <w:t>6.3. Особливі заходи зберігання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8C77AA">
        <w:rPr>
          <w:rFonts w:ascii="Times New Roman" w:hAnsi="Times New Roman" w:cs="Times New Roman"/>
          <w:color w:val="auto"/>
          <w:lang w:val="uk-UA"/>
        </w:rPr>
        <w:t>Сухе темне, недоступне для дітей місце за температури від 5 до 30 ˚С.</w:t>
      </w:r>
      <w:r w:rsidRPr="008C77AA">
        <w:rPr>
          <w:rFonts w:ascii="Times New Roman" w:hAnsi="Times New Roman" w:cs="Times New Roman"/>
          <w:b/>
          <w:color w:val="auto"/>
          <w:lang w:val="uk-UA"/>
        </w:rPr>
        <w:t xml:space="preserve"> 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8C77AA">
        <w:rPr>
          <w:rFonts w:ascii="Times New Roman" w:hAnsi="Times New Roman" w:cs="Times New Roman"/>
          <w:b/>
          <w:color w:val="auto"/>
          <w:lang w:val="uk-UA"/>
        </w:rPr>
        <w:t>6.4. Природа і склад контейнера первинного пакування.</w:t>
      </w:r>
      <w:r w:rsidRPr="008C77AA">
        <w:rPr>
          <w:rFonts w:ascii="Times New Roman" w:hAnsi="Times New Roman" w:cs="Times New Roman"/>
          <w:color w:val="auto"/>
          <w:lang w:val="uk-UA"/>
        </w:rPr>
        <w:t xml:space="preserve"> 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8C77AA">
        <w:rPr>
          <w:rFonts w:ascii="Times New Roman" w:hAnsi="Times New Roman" w:cs="Times New Roman"/>
          <w:color w:val="auto"/>
          <w:lang w:val="uk-UA"/>
        </w:rPr>
        <w:t>Флакони зі скла I</w:t>
      </w:r>
      <w:r>
        <w:rPr>
          <w:rFonts w:ascii="Times New Roman" w:hAnsi="Times New Roman" w:cs="Times New Roman"/>
          <w:color w:val="auto"/>
        </w:rPr>
        <w:t>I</w:t>
      </w:r>
      <w:r w:rsidRPr="008C77AA">
        <w:rPr>
          <w:rFonts w:ascii="Times New Roman" w:hAnsi="Times New Roman" w:cs="Times New Roman"/>
          <w:color w:val="auto"/>
          <w:lang w:val="uk-UA"/>
        </w:rPr>
        <w:t xml:space="preserve"> типу (за Європейською Фармакопеєю) </w:t>
      </w:r>
      <w:r w:rsidRPr="008C77AA">
        <w:rPr>
          <w:rFonts w:ascii="Times New Roman" w:hAnsi="Times New Roman" w:cs="Times New Roman"/>
          <w:color w:val="auto"/>
          <w:lang w:val="ru-RU"/>
        </w:rPr>
        <w:t>бурштинового кольору</w:t>
      </w:r>
      <w:r w:rsidRPr="008C77AA">
        <w:rPr>
          <w:rFonts w:ascii="Times New Roman" w:hAnsi="Times New Roman" w:cs="Times New Roman"/>
          <w:color w:val="auto"/>
          <w:lang w:val="uk-UA"/>
        </w:rPr>
        <w:t xml:space="preserve">, закриті гумовими корками під алюмінієву обкатку </w:t>
      </w:r>
      <w:r w:rsidRPr="00A6522B">
        <w:rPr>
          <w:rFonts w:ascii="Times New Roman" w:hAnsi="Times New Roman" w:cs="Times New Roman"/>
          <w:color w:val="auto"/>
          <w:lang w:val="uk-UA"/>
        </w:rPr>
        <w:t>по</w:t>
      </w:r>
      <w:r w:rsidRPr="00A6522B">
        <w:rPr>
          <w:rFonts w:ascii="Times New Roman" w:hAnsi="Times New Roman" w:cs="Times New Roman"/>
          <w:color w:val="auto"/>
          <w:lang w:val="ru-RU"/>
        </w:rPr>
        <w:t xml:space="preserve"> 50, </w:t>
      </w:r>
      <w:r w:rsidRPr="00A6522B">
        <w:rPr>
          <w:rFonts w:ascii="Times New Roman" w:hAnsi="Times New Roman" w:cs="Times New Roman"/>
          <w:color w:val="auto"/>
          <w:lang w:val="uk-UA"/>
        </w:rPr>
        <w:t>100 та 250 мл.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8C77AA">
        <w:rPr>
          <w:rFonts w:ascii="Times New Roman" w:hAnsi="Times New Roman" w:cs="Times New Roman"/>
          <w:color w:val="auto"/>
          <w:lang w:val="uk-UA"/>
        </w:rPr>
        <w:t>Вторинне пакування – картонні коробки.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8C77AA">
        <w:rPr>
          <w:rFonts w:ascii="Times New Roman" w:hAnsi="Times New Roman" w:cs="Times New Roman"/>
          <w:b/>
          <w:color w:val="auto"/>
          <w:lang w:val="uk-UA"/>
        </w:rPr>
        <w:t>6.5. Особливі заходи безпеки при поводженні з невикористаним препаратом або із його залишками.</w:t>
      </w:r>
    </w:p>
    <w:p w:rsidR="00C214FC" w:rsidRPr="008C77AA" w:rsidRDefault="00C214FC" w:rsidP="00DE37A4">
      <w:pPr>
        <w:pStyle w:val="1"/>
        <w:spacing w:before="0" w:after="0" w:line="240" w:lineRule="auto"/>
        <w:ind w:firstLine="567"/>
        <w:jc w:val="both"/>
        <w:rPr>
          <w:sz w:val="24"/>
          <w:szCs w:val="24"/>
        </w:rPr>
      </w:pPr>
      <w:r w:rsidRPr="008C77AA">
        <w:rPr>
          <w:sz w:val="24"/>
        </w:rPr>
        <w:t>Порожню упаковку та залишки невикористаного препарату потрібно утилізувати згідно з чинним законодавством.</w:t>
      </w:r>
    </w:p>
    <w:p w:rsidR="00C214FC" w:rsidRPr="008C77AA" w:rsidRDefault="00C214FC" w:rsidP="00DE37A4">
      <w:pPr>
        <w:ind w:firstLine="567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8C77AA">
        <w:rPr>
          <w:rFonts w:ascii="Times New Roman" w:hAnsi="Times New Roman" w:cs="Times New Roman"/>
          <w:b/>
          <w:color w:val="auto"/>
          <w:lang w:val="uk-UA"/>
        </w:rPr>
        <w:t>7. Назва та місцезнаходження власника реєстраційного посвідчення</w:t>
      </w:r>
      <w:r>
        <w:rPr>
          <w:rFonts w:ascii="Times New Roman" w:hAnsi="Times New Roman" w:cs="Times New Roman"/>
          <w:b/>
          <w:color w:val="auto"/>
          <w:lang w:val="uk-UA"/>
        </w:rPr>
        <w:t xml:space="preserve"> та виробника</w:t>
      </w:r>
    </w:p>
    <w:tbl>
      <w:tblPr>
        <w:tblW w:w="10142" w:type="dxa"/>
        <w:jc w:val="center"/>
        <w:tblLayout w:type="fixed"/>
        <w:tblLook w:val="01E0" w:firstRow="1" w:lastRow="1" w:firstColumn="1" w:lastColumn="1" w:noHBand="0" w:noVBand="0"/>
      </w:tblPr>
      <w:tblGrid>
        <w:gridCol w:w="5197"/>
        <w:gridCol w:w="4945"/>
      </w:tblGrid>
      <w:tr w:rsidR="00C214FC" w:rsidRPr="008C77AA" w:rsidTr="000009A8">
        <w:trPr>
          <w:jc w:val="center"/>
        </w:trPr>
        <w:tc>
          <w:tcPr>
            <w:tcW w:w="2562" w:type="pct"/>
          </w:tcPr>
          <w:p w:rsidR="00C214FC" w:rsidRPr="009E37DC" w:rsidRDefault="00C214FC" w:rsidP="00DE37A4">
            <w:pPr>
              <w:shd w:val="clear" w:color="auto" w:fill="FFFFFF"/>
              <w:rPr>
                <w:rFonts w:ascii="Times New Roman" w:hAnsi="Times New Roman" w:cs="Times New Roman"/>
                <w:color w:val="auto"/>
                <w:lang w:val="uk-UA"/>
              </w:rPr>
            </w:pPr>
            <w:bookmarkStart w:id="2" w:name="_Hlk39754253"/>
            <w:r w:rsidRPr="009E37DC">
              <w:rPr>
                <w:rFonts w:ascii="Times New Roman" w:hAnsi="Times New Roman" w:cs="Times New Roman"/>
                <w:color w:val="auto"/>
                <w:lang w:val="uk-UA"/>
              </w:rPr>
              <w:t>Вемедім Енімал Хелс</w:t>
            </w:r>
          </w:p>
          <w:p w:rsidR="00C214FC" w:rsidRPr="009E37DC" w:rsidRDefault="00C214FC" w:rsidP="00DE37A4">
            <w:pPr>
              <w:shd w:val="clear" w:color="auto" w:fill="FFFFFF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9E37DC">
              <w:rPr>
                <w:rFonts w:ascii="Times New Roman" w:hAnsi="Times New Roman" w:cs="Times New Roman"/>
                <w:color w:val="auto"/>
                <w:lang w:val="uk-UA"/>
              </w:rPr>
              <w:t xml:space="preserve">Сонг Хау Індастріал зоун, Донг Фу комюн, Чау Танх дистрікт, Хау Джанг провінс, </w:t>
            </w:r>
          </w:p>
          <w:p w:rsidR="00C214FC" w:rsidRPr="009E37DC" w:rsidRDefault="00C214FC" w:rsidP="00DE37A4">
            <w:pPr>
              <w:shd w:val="clear" w:color="auto" w:fill="FFFFFF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9E37DC">
              <w:rPr>
                <w:rFonts w:ascii="Times New Roman" w:hAnsi="Times New Roman" w:cs="Times New Roman"/>
                <w:color w:val="auto"/>
                <w:lang w:val="uk-UA"/>
              </w:rPr>
              <w:lastRenderedPageBreak/>
              <w:t>В’ЄТНАМ</w:t>
            </w:r>
          </w:p>
          <w:p w:rsidR="00C214FC" w:rsidRPr="009E37DC" w:rsidRDefault="00C214FC" w:rsidP="00DE37A4">
            <w:p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9E37DC">
              <w:rPr>
                <w:rFonts w:ascii="Times New Roman" w:hAnsi="Times New Roman" w:cs="Times New Roman"/>
                <w:color w:val="auto"/>
                <w:lang w:val="uk-UA"/>
              </w:rPr>
              <w:t>Телефон: (+84) 2933 949 269</w:t>
            </w:r>
          </w:p>
          <w:p w:rsidR="00C214FC" w:rsidRPr="009E37DC" w:rsidRDefault="00C214FC" w:rsidP="00DE37A4">
            <w:p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9E37DC">
              <w:rPr>
                <w:rFonts w:ascii="Times New Roman" w:hAnsi="Times New Roman" w:cs="Times New Roman"/>
                <w:color w:val="auto"/>
                <w:lang w:val="uk-UA"/>
              </w:rPr>
              <w:t>Факс: (+84) 2933 949 399</w:t>
            </w:r>
          </w:p>
          <w:p w:rsidR="00C214FC" w:rsidRPr="009E37DC" w:rsidRDefault="00C214FC" w:rsidP="00DE37A4">
            <w:p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9E37DC">
              <w:rPr>
                <w:rFonts w:ascii="Times New Roman" w:hAnsi="Times New Roman" w:cs="Times New Roman"/>
                <w:color w:val="auto"/>
                <w:lang w:val="uk-UA"/>
              </w:rPr>
              <w:t xml:space="preserve">Email: </w:t>
            </w:r>
            <w:hyperlink r:id="rId6" w:history="1">
              <w:r w:rsidRPr="009E37DC">
                <w:rPr>
                  <w:rStyle w:val="a5"/>
                  <w:rFonts w:ascii="Times New Roman" w:hAnsi="Times New Roman"/>
                  <w:color w:val="auto"/>
                </w:rPr>
                <w:t>animalhealth</w:t>
              </w:r>
              <w:r w:rsidRPr="009E37DC">
                <w:rPr>
                  <w:rStyle w:val="a5"/>
                  <w:rFonts w:ascii="Times New Roman" w:hAnsi="Times New Roman"/>
                  <w:color w:val="auto"/>
                  <w:lang w:val="ru-RU"/>
                </w:rPr>
                <w:t>@</w:t>
              </w:r>
              <w:r w:rsidRPr="009E37DC">
                <w:rPr>
                  <w:rStyle w:val="a5"/>
                  <w:rFonts w:ascii="Times New Roman" w:hAnsi="Times New Roman"/>
                  <w:color w:val="auto"/>
                </w:rPr>
                <w:t>vemedim</w:t>
              </w:r>
              <w:r w:rsidRPr="009E37DC">
                <w:rPr>
                  <w:rStyle w:val="a5"/>
                  <w:rFonts w:ascii="Times New Roman" w:hAnsi="Times New Roman"/>
                  <w:color w:val="auto"/>
                  <w:lang w:val="ru-RU"/>
                </w:rPr>
                <w:t>.</w:t>
              </w:r>
              <w:r w:rsidRPr="009E37DC">
                <w:rPr>
                  <w:rStyle w:val="a5"/>
                  <w:rFonts w:ascii="Times New Roman" w:hAnsi="Times New Roman"/>
                  <w:color w:val="auto"/>
                </w:rPr>
                <w:t>com</w:t>
              </w:r>
              <w:r w:rsidRPr="009E37DC">
                <w:rPr>
                  <w:rStyle w:val="a5"/>
                  <w:rFonts w:ascii="Times New Roman" w:hAnsi="Times New Roman"/>
                  <w:color w:val="auto"/>
                  <w:lang w:val="ru-RU"/>
                </w:rPr>
                <w:t>.</w:t>
              </w:r>
              <w:r w:rsidRPr="009E37DC">
                <w:rPr>
                  <w:rStyle w:val="a5"/>
                  <w:rFonts w:ascii="Times New Roman" w:hAnsi="Times New Roman"/>
                  <w:color w:val="auto"/>
                </w:rPr>
                <w:t>vn</w:t>
              </w:r>
            </w:hyperlink>
            <w:r w:rsidRPr="009E37DC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</w:p>
          <w:p w:rsidR="00C214FC" w:rsidRPr="009E37DC" w:rsidRDefault="00C214FC" w:rsidP="00DE37A4">
            <w:p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9E37DC">
              <w:rPr>
                <w:rFonts w:ascii="Times New Roman" w:hAnsi="Times New Roman" w:cs="Times New Roman"/>
                <w:color w:val="auto"/>
                <w:lang w:val="uk-UA"/>
              </w:rPr>
              <w:t xml:space="preserve">Website: </w:t>
            </w:r>
            <w:hyperlink r:id="rId7" w:history="1">
              <w:r w:rsidRPr="009E37DC">
                <w:rPr>
                  <w:rStyle w:val="a5"/>
                  <w:rFonts w:ascii="Times New Roman" w:hAnsi="Times New Roman"/>
                  <w:color w:val="auto"/>
                </w:rPr>
                <w:t>www.vemedim.vn</w:t>
              </w:r>
            </w:hyperlink>
            <w:r w:rsidRPr="009E37DC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</w:p>
        </w:tc>
        <w:tc>
          <w:tcPr>
            <w:tcW w:w="2438" w:type="pct"/>
          </w:tcPr>
          <w:p w:rsidR="00C214FC" w:rsidRPr="009E37DC" w:rsidRDefault="00C214FC" w:rsidP="00DE37A4">
            <w:pPr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  <w:r w:rsidRPr="009E37DC">
              <w:rPr>
                <w:rFonts w:ascii="Times New Roman" w:hAnsi="Times New Roman" w:cs="Times New Roman"/>
                <w:color w:val="auto"/>
              </w:rPr>
              <w:lastRenderedPageBreak/>
              <w:t>Vemedim Animal Health</w:t>
            </w:r>
          </w:p>
          <w:p w:rsidR="00C214FC" w:rsidRPr="009E37DC" w:rsidRDefault="00C214FC" w:rsidP="00DE37A4">
            <w:pPr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  <w:r w:rsidRPr="009E37DC">
              <w:rPr>
                <w:rFonts w:ascii="Times New Roman" w:hAnsi="Times New Roman" w:cs="Times New Roman"/>
                <w:color w:val="auto"/>
              </w:rPr>
              <w:t>Song Hau Industrial zone, Dong Phu commune,</w:t>
            </w:r>
          </w:p>
          <w:p w:rsidR="00C214FC" w:rsidRPr="009E37DC" w:rsidRDefault="00C214FC" w:rsidP="00DE37A4">
            <w:pPr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  <w:r w:rsidRPr="009E37DC">
              <w:rPr>
                <w:rFonts w:ascii="Times New Roman" w:hAnsi="Times New Roman" w:cs="Times New Roman"/>
                <w:color w:val="auto"/>
              </w:rPr>
              <w:t>Chau Thanh district, Hau Giang province,</w:t>
            </w:r>
          </w:p>
          <w:p w:rsidR="00C214FC" w:rsidRPr="008122E9" w:rsidRDefault="00C214FC" w:rsidP="00DE37A4">
            <w:pPr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  <w:r w:rsidRPr="009E37DC">
              <w:rPr>
                <w:rFonts w:ascii="Times New Roman" w:hAnsi="Times New Roman" w:cs="Times New Roman"/>
                <w:color w:val="auto"/>
              </w:rPr>
              <w:lastRenderedPageBreak/>
              <w:t>VIETNAM</w:t>
            </w:r>
          </w:p>
          <w:p w:rsidR="00C214FC" w:rsidRPr="009E37DC" w:rsidRDefault="00C214FC" w:rsidP="00DE37A4">
            <w:pPr>
              <w:pStyle w:val="a3"/>
              <w:kinsoku w:val="0"/>
              <w:overflowPunct w:val="0"/>
              <w:rPr>
                <w:b w:val="0"/>
                <w:color w:val="auto"/>
                <w:spacing w:val="-1"/>
                <w:lang w:val="en-US"/>
              </w:rPr>
            </w:pPr>
            <w:r w:rsidRPr="009E37DC">
              <w:rPr>
                <w:b w:val="0"/>
                <w:color w:val="auto"/>
                <w:spacing w:val="-1"/>
                <w:lang w:val="en-US"/>
              </w:rPr>
              <w:t>Phone:</w:t>
            </w:r>
            <w:r w:rsidRPr="009E37DC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9E37DC">
              <w:rPr>
                <w:b w:val="0"/>
                <w:color w:val="auto"/>
                <w:spacing w:val="-1"/>
                <w:lang w:val="en-US"/>
              </w:rPr>
              <w:t>(+84)</w:t>
            </w:r>
            <w:r w:rsidRPr="009E37DC">
              <w:rPr>
                <w:b w:val="0"/>
                <w:color w:val="auto"/>
                <w:lang w:val="en-US"/>
              </w:rPr>
              <w:t xml:space="preserve"> </w:t>
            </w:r>
            <w:r w:rsidRPr="009E37DC">
              <w:rPr>
                <w:b w:val="0"/>
                <w:color w:val="auto"/>
                <w:spacing w:val="-1"/>
                <w:lang w:val="en-US"/>
              </w:rPr>
              <w:t>2933</w:t>
            </w:r>
            <w:r w:rsidRPr="009E37DC">
              <w:rPr>
                <w:b w:val="0"/>
                <w:color w:val="auto"/>
                <w:spacing w:val="-3"/>
                <w:lang w:val="en-US"/>
              </w:rPr>
              <w:t xml:space="preserve"> </w:t>
            </w:r>
            <w:r w:rsidRPr="009E37DC">
              <w:rPr>
                <w:b w:val="0"/>
                <w:color w:val="auto"/>
                <w:spacing w:val="-1"/>
                <w:lang w:val="en-US"/>
              </w:rPr>
              <w:t>949</w:t>
            </w:r>
            <w:r w:rsidRPr="009E37DC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9E37DC">
              <w:rPr>
                <w:b w:val="0"/>
                <w:color w:val="auto"/>
                <w:spacing w:val="-1"/>
                <w:lang w:val="en-US"/>
              </w:rPr>
              <w:t>269</w:t>
            </w:r>
          </w:p>
          <w:p w:rsidR="00C214FC" w:rsidRPr="009E37DC" w:rsidRDefault="00C214FC" w:rsidP="00DE37A4">
            <w:pPr>
              <w:pStyle w:val="a3"/>
              <w:kinsoku w:val="0"/>
              <w:overflowPunct w:val="0"/>
              <w:rPr>
                <w:b w:val="0"/>
                <w:color w:val="auto"/>
                <w:lang w:val="en-US"/>
              </w:rPr>
            </w:pPr>
            <w:r w:rsidRPr="009E37DC">
              <w:rPr>
                <w:b w:val="0"/>
                <w:color w:val="auto"/>
                <w:spacing w:val="-1"/>
                <w:lang w:val="en-US"/>
              </w:rPr>
              <w:t>Fax:</w:t>
            </w:r>
            <w:r w:rsidRPr="009E37DC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9E37DC">
              <w:rPr>
                <w:b w:val="0"/>
                <w:color w:val="auto"/>
                <w:spacing w:val="-1"/>
                <w:lang w:val="en-US"/>
              </w:rPr>
              <w:t>(+84)</w:t>
            </w:r>
            <w:r w:rsidRPr="009E37DC">
              <w:rPr>
                <w:b w:val="0"/>
                <w:color w:val="auto"/>
                <w:spacing w:val="-3"/>
                <w:lang w:val="en-US"/>
              </w:rPr>
              <w:t xml:space="preserve"> </w:t>
            </w:r>
            <w:r w:rsidRPr="009E37DC">
              <w:rPr>
                <w:b w:val="0"/>
                <w:color w:val="auto"/>
                <w:spacing w:val="-1"/>
                <w:lang w:val="en-US"/>
              </w:rPr>
              <w:t>2933</w:t>
            </w:r>
            <w:r w:rsidRPr="009E37DC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9E37DC">
              <w:rPr>
                <w:b w:val="0"/>
                <w:color w:val="auto"/>
                <w:spacing w:val="-2"/>
                <w:lang w:val="en-US"/>
              </w:rPr>
              <w:t>949</w:t>
            </w:r>
            <w:r w:rsidRPr="009E37DC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9E37DC">
              <w:rPr>
                <w:b w:val="0"/>
                <w:color w:val="auto"/>
                <w:lang w:val="en-US"/>
              </w:rPr>
              <w:t>399</w:t>
            </w:r>
          </w:p>
          <w:p w:rsidR="00C214FC" w:rsidRPr="009E37DC" w:rsidRDefault="00C214FC" w:rsidP="00DE37A4">
            <w:pPr>
              <w:pStyle w:val="a3"/>
              <w:kinsoku w:val="0"/>
              <w:overflowPunct w:val="0"/>
              <w:rPr>
                <w:b w:val="0"/>
                <w:color w:val="auto"/>
                <w:spacing w:val="22"/>
                <w:lang w:val="en-US"/>
              </w:rPr>
            </w:pPr>
            <w:r w:rsidRPr="009E37DC">
              <w:rPr>
                <w:b w:val="0"/>
                <w:color w:val="auto"/>
                <w:spacing w:val="-1"/>
                <w:lang w:val="en-US"/>
              </w:rPr>
              <w:t>Email:</w:t>
            </w:r>
            <w:r w:rsidRPr="009E37DC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hyperlink r:id="rId8" w:history="1">
              <w:r w:rsidRPr="009E37DC">
                <w:rPr>
                  <w:b w:val="0"/>
                  <w:color w:val="auto"/>
                  <w:spacing w:val="-1"/>
                  <w:lang w:val="en-US"/>
                </w:rPr>
                <w:t>animalhealth@vemedim.com.vn</w:t>
              </w:r>
            </w:hyperlink>
            <w:r w:rsidRPr="009E37DC">
              <w:rPr>
                <w:b w:val="0"/>
                <w:color w:val="auto"/>
                <w:spacing w:val="1"/>
              </w:rPr>
              <w:t xml:space="preserve"> </w:t>
            </w:r>
            <w:r w:rsidRPr="009E37DC">
              <w:rPr>
                <w:b w:val="0"/>
                <w:color w:val="auto"/>
                <w:spacing w:val="22"/>
                <w:lang w:val="en-US"/>
              </w:rPr>
              <w:t xml:space="preserve"> </w:t>
            </w:r>
          </w:p>
          <w:p w:rsidR="00C214FC" w:rsidRPr="009E37DC" w:rsidRDefault="00C214FC" w:rsidP="00DE37A4">
            <w:pPr>
              <w:pStyle w:val="a3"/>
              <w:kinsoku w:val="0"/>
              <w:overflowPunct w:val="0"/>
              <w:rPr>
                <w:b w:val="0"/>
                <w:color w:val="auto"/>
                <w:lang w:val="en-US"/>
              </w:rPr>
            </w:pPr>
            <w:r w:rsidRPr="009E37DC">
              <w:rPr>
                <w:b w:val="0"/>
                <w:color w:val="auto"/>
                <w:spacing w:val="-1"/>
                <w:lang w:val="en-US"/>
              </w:rPr>
              <w:t>Website:</w:t>
            </w:r>
            <w:r w:rsidRPr="009E37DC">
              <w:rPr>
                <w:b w:val="0"/>
                <w:color w:val="auto"/>
                <w:spacing w:val="-2"/>
                <w:lang w:val="en-US"/>
              </w:rPr>
              <w:t xml:space="preserve"> </w:t>
            </w:r>
            <w:hyperlink r:id="rId9" w:history="1">
              <w:r w:rsidRPr="009E37DC">
                <w:rPr>
                  <w:b w:val="0"/>
                  <w:color w:val="auto"/>
                  <w:spacing w:val="-2"/>
                  <w:lang w:val="en-US"/>
                </w:rPr>
                <w:t>www.vemedim.vn</w:t>
              </w:r>
            </w:hyperlink>
          </w:p>
          <w:p w:rsidR="00C214FC" w:rsidRPr="009E37DC" w:rsidRDefault="00C214FC" w:rsidP="00DE37A4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bookmarkEnd w:id="2"/>
    </w:tbl>
    <w:p w:rsidR="00C214FC" w:rsidRPr="008C77AA" w:rsidRDefault="00C214FC" w:rsidP="00DE37A4">
      <w:pPr>
        <w:ind w:firstLine="567"/>
        <w:rPr>
          <w:rFonts w:ascii="Times New Roman" w:hAnsi="Times New Roman" w:cs="Times New Roman"/>
          <w:color w:val="auto"/>
          <w:lang w:val="ru-RU"/>
        </w:rPr>
      </w:pPr>
    </w:p>
    <w:sectPr w:rsidR="00C214FC" w:rsidRPr="008C77AA" w:rsidSect="001312B2">
      <w:footerReference w:type="even" r:id="rId10"/>
      <w:footerReference w:type="default" r:id="rId11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4FC" w:rsidRDefault="00C214FC">
      <w:r>
        <w:separator/>
      </w:r>
    </w:p>
  </w:endnote>
  <w:endnote w:type="continuationSeparator" w:id="0">
    <w:p w:rsidR="00C214FC" w:rsidRDefault="00C21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4FC" w:rsidRDefault="00C214FC" w:rsidP="00EA28DF">
    <w:pPr>
      <w:pStyle w:val="af4"/>
      <w:framePr w:wrap="around" w:vAnchor="text" w:hAnchor="margin" w:xAlign="center" w:y="1"/>
      <w:rPr>
        <w:rStyle w:val="af6"/>
        <w:rFonts w:cs="Tahoma"/>
      </w:rPr>
    </w:pPr>
    <w:r>
      <w:rPr>
        <w:rStyle w:val="af6"/>
        <w:rFonts w:cs="Tahoma"/>
      </w:rPr>
      <w:fldChar w:fldCharType="begin"/>
    </w:r>
    <w:r>
      <w:rPr>
        <w:rStyle w:val="af6"/>
        <w:rFonts w:cs="Tahoma"/>
      </w:rPr>
      <w:instrText xml:space="preserve">PAGE  </w:instrText>
    </w:r>
    <w:r>
      <w:rPr>
        <w:rStyle w:val="af6"/>
        <w:rFonts w:cs="Tahoma"/>
      </w:rPr>
      <w:fldChar w:fldCharType="end"/>
    </w:r>
  </w:p>
  <w:p w:rsidR="00C214FC" w:rsidRDefault="00C214F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4FC" w:rsidRDefault="00C214FC" w:rsidP="00EA28DF">
    <w:pPr>
      <w:pStyle w:val="af4"/>
      <w:framePr w:wrap="around" w:vAnchor="text" w:hAnchor="margin" w:xAlign="center" w:y="1"/>
      <w:rPr>
        <w:rStyle w:val="af6"/>
        <w:rFonts w:cs="Tahoma"/>
      </w:rPr>
    </w:pPr>
    <w:r>
      <w:rPr>
        <w:rStyle w:val="af6"/>
        <w:rFonts w:cs="Tahoma"/>
      </w:rPr>
      <w:fldChar w:fldCharType="begin"/>
    </w:r>
    <w:r>
      <w:rPr>
        <w:rStyle w:val="af6"/>
        <w:rFonts w:cs="Tahoma"/>
      </w:rPr>
      <w:instrText xml:space="preserve">PAGE  </w:instrText>
    </w:r>
    <w:r>
      <w:rPr>
        <w:rStyle w:val="af6"/>
        <w:rFonts w:cs="Tahoma"/>
      </w:rPr>
      <w:fldChar w:fldCharType="separate"/>
    </w:r>
    <w:r w:rsidR="00A74446">
      <w:rPr>
        <w:rStyle w:val="af6"/>
        <w:rFonts w:cs="Tahoma"/>
        <w:noProof/>
      </w:rPr>
      <w:t>1</w:t>
    </w:r>
    <w:r>
      <w:rPr>
        <w:rStyle w:val="af6"/>
        <w:rFonts w:cs="Tahoma"/>
      </w:rPr>
      <w:fldChar w:fldCharType="end"/>
    </w:r>
  </w:p>
  <w:p w:rsidR="00C214FC" w:rsidRDefault="00C214F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4FC" w:rsidRDefault="00C214FC">
      <w:r>
        <w:separator/>
      </w:r>
    </w:p>
  </w:footnote>
  <w:footnote w:type="continuationSeparator" w:id="0">
    <w:p w:rsidR="00C214FC" w:rsidRDefault="00C214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F1D"/>
    <w:rsid w:val="000009A8"/>
    <w:rsid w:val="00012781"/>
    <w:rsid w:val="000A1B1D"/>
    <w:rsid w:val="000D0A3A"/>
    <w:rsid w:val="000D22EE"/>
    <w:rsid w:val="000D7EE1"/>
    <w:rsid w:val="001312B2"/>
    <w:rsid w:val="00144D6F"/>
    <w:rsid w:val="001B2ADA"/>
    <w:rsid w:val="001B6496"/>
    <w:rsid w:val="00340569"/>
    <w:rsid w:val="00370F11"/>
    <w:rsid w:val="003F59C9"/>
    <w:rsid w:val="00401BDD"/>
    <w:rsid w:val="0047246A"/>
    <w:rsid w:val="00486AC5"/>
    <w:rsid w:val="004D4D30"/>
    <w:rsid w:val="00564F73"/>
    <w:rsid w:val="005919AA"/>
    <w:rsid w:val="005A4D16"/>
    <w:rsid w:val="005A62CF"/>
    <w:rsid w:val="005D6463"/>
    <w:rsid w:val="005E7152"/>
    <w:rsid w:val="00616FD1"/>
    <w:rsid w:val="00677403"/>
    <w:rsid w:val="00681778"/>
    <w:rsid w:val="006834D3"/>
    <w:rsid w:val="006B606F"/>
    <w:rsid w:val="006F4B4D"/>
    <w:rsid w:val="006F59BF"/>
    <w:rsid w:val="007803D7"/>
    <w:rsid w:val="007C04DD"/>
    <w:rsid w:val="007D0F1D"/>
    <w:rsid w:val="007D507D"/>
    <w:rsid w:val="008122E9"/>
    <w:rsid w:val="00831644"/>
    <w:rsid w:val="0086673C"/>
    <w:rsid w:val="008C77AA"/>
    <w:rsid w:val="00903C73"/>
    <w:rsid w:val="009C5598"/>
    <w:rsid w:val="009D6C46"/>
    <w:rsid w:val="009E37DC"/>
    <w:rsid w:val="00A03C19"/>
    <w:rsid w:val="00A05033"/>
    <w:rsid w:val="00A6522B"/>
    <w:rsid w:val="00A74446"/>
    <w:rsid w:val="00A93236"/>
    <w:rsid w:val="00A97700"/>
    <w:rsid w:val="00AB74F8"/>
    <w:rsid w:val="00AC64AD"/>
    <w:rsid w:val="00AF73F5"/>
    <w:rsid w:val="00B106C3"/>
    <w:rsid w:val="00BD512D"/>
    <w:rsid w:val="00BE39A3"/>
    <w:rsid w:val="00C0282E"/>
    <w:rsid w:val="00C214FC"/>
    <w:rsid w:val="00C30E2F"/>
    <w:rsid w:val="00D56225"/>
    <w:rsid w:val="00D62CFC"/>
    <w:rsid w:val="00DA6E01"/>
    <w:rsid w:val="00DC0898"/>
    <w:rsid w:val="00DE37A4"/>
    <w:rsid w:val="00DF3828"/>
    <w:rsid w:val="00E90E01"/>
    <w:rsid w:val="00EA28DF"/>
    <w:rsid w:val="00ED6510"/>
    <w:rsid w:val="00F07EA2"/>
    <w:rsid w:val="00F3662C"/>
    <w:rsid w:val="00F8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E903434-FA3F-45C0-9281-29CE385A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F1D"/>
    <w:rPr>
      <w:rFonts w:ascii="Tahoma" w:hAnsi="Tahoma" w:cs="Tahoma"/>
      <w:color w:val="000000"/>
      <w:sz w:val="24"/>
      <w:szCs w:val="24"/>
      <w:lang w:val="en-US" w:eastAsia="ru-RU"/>
    </w:rPr>
  </w:style>
  <w:style w:type="paragraph" w:styleId="2">
    <w:name w:val="heading 2"/>
    <w:basedOn w:val="a"/>
    <w:next w:val="a"/>
    <w:link w:val="20"/>
    <w:uiPriority w:val="99"/>
    <w:qFormat/>
    <w:rsid w:val="007D0F1D"/>
    <w:pPr>
      <w:keepNext/>
      <w:jc w:val="center"/>
      <w:outlineLvl w:val="1"/>
    </w:pPr>
    <w:rPr>
      <w:rFonts w:ascii="Times New Roman" w:eastAsia="Times New Roman" w:hAnsi="Times New Roman" w:cs="Times New Roman"/>
      <w:b/>
      <w:color w:val="auto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D0F1D"/>
    <w:rPr>
      <w:rFonts w:ascii="Times New Roman" w:hAnsi="Times New Roman"/>
      <w:b/>
      <w:sz w:val="24"/>
      <w:lang w:val="uk-UA" w:eastAsia="ru-RU"/>
    </w:rPr>
  </w:style>
  <w:style w:type="character" w:customStyle="1" w:styleId="Bodytext">
    <w:name w:val="Body text_"/>
    <w:link w:val="1"/>
    <w:uiPriority w:val="99"/>
    <w:locked/>
    <w:rsid w:val="007D0F1D"/>
    <w:rPr>
      <w:rFonts w:ascii="Times New Roman" w:hAnsi="Times New Roman"/>
      <w:sz w:val="20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7D0F1D"/>
    <w:pPr>
      <w:shd w:val="clear" w:color="auto" w:fill="FFFFFF"/>
      <w:spacing w:before="240" w:after="720" w:line="240" w:lineRule="atLeast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Standard">
    <w:name w:val="Standard"/>
    <w:uiPriority w:val="99"/>
    <w:rsid w:val="007D0F1D"/>
    <w:pPr>
      <w:suppressAutoHyphens/>
    </w:pPr>
    <w:rPr>
      <w:rFonts w:ascii="Arial" w:hAnsi="Arial"/>
      <w:sz w:val="24"/>
      <w:szCs w:val="20"/>
      <w:lang w:val="ru-RU" w:eastAsia="ar-SA"/>
    </w:rPr>
  </w:style>
  <w:style w:type="paragraph" w:customStyle="1" w:styleId="TableParagraph">
    <w:name w:val="Table Paragraph"/>
    <w:basedOn w:val="a"/>
    <w:uiPriority w:val="99"/>
    <w:rsid w:val="007D0F1D"/>
    <w:pPr>
      <w:widowControl w:val="0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3">
    <w:name w:val="Body Text"/>
    <w:basedOn w:val="a"/>
    <w:link w:val="a4"/>
    <w:uiPriority w:val="99"/>
    <w:rsid w:val="007D0F1D"/>
    <w:pPr>
      <w:jc w:val="both"/>
    </w:pPr>
    <w:rPr>
      <w:rFonts w:ascii="Times New Roman" w:eastAsia="Times New Roman" w:hAnsi="Times New Roman" w:cs="Times New Roman"/>
      <w:b/>
      <w:lang w:val="uk-UA"/>
    </w:rPr>
  </w:style>
  <w:style w:type="character" w:customStyle="1" w:styleId="a4">
    <w:name w:val="Основний текст Знак"/>
    <w:basedOn w:val="a0"/>
    <w:link w:val="a3"/>
    <w:uiPriority w:val="99"/>
    <w:locked/>
    <w:rsid w:val="007D0F1D"/>
    <w:rPr>
      <w:rFonts w:ascii="Times New Roman" w:hAnsi="Times New Roman"/>
      <w:b/>
      <w:color w:val="000000"/>
      <w:sz w:val="24"/>
      <w:lang w:val="uk-UA" w:eastAsia="ru-RU"/>
    </w:rPr>
  </w:style>
  <w:style w:type="paragraph" w:styleId="21">
    <w:name w:val="Body Text 2"/>
    <w:basedOn w:val="a"/>
    <w:link w:val="22"/>
    <w:uiPriority w:val="99"/>
    <w:rsid w:val="007D0F1D"/>
    <w:pPr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22">
    <w:name w:val="Основний текст 2 Знак"/>
    <w:basedOn w:val="a0"/>
    <w:link w:val="21"/>
    <w:uiPriority w:val="99"/>
    <w:locked/>
    <w:rsid w:val="007D0F1D"/>
    <w:rPr>
      <w:rFonts w:ascii="Times New Roman" w:hAnsi="Times New Roman"/>
      <w:color w:val="000000"/>
      <w:sz w:val="24"/>
      <w:lang w:val="uk-UA" w:eastAsia="ru-RU"/>
    </w:rPr>
  </w:style>
  <w:style w:type="character" w:styleId="a5">
    <w:name w:val="Hyperlink"/>
    <w:basedOn w:val="a0"/>
    <w:uiPriority w:val="99"/>
    <w:rsid w:val="007D0F1D"/>
    <w:rPr>
      <w:rFonts w:cs="Times New Roman"/>
      <w:color w:val="0066CC"/>
      <w:u w:val="single"/>
    </w:rPr>
  </w:style>
  <w:style w:type="paragraph" w:styleId="a6">
    <w:name w:val="Balloon Text"/>
    <w:basedOn w:val="a"/>
    <w:link w:val="a7"/>
    <w:uiPriority w:val="99"/>
    <w:semiHidden/>
    <w:rsid w:val="00A03C19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A03C19"/>
    <w:rPr>
      <w:rFonts w:ascii="Segoe UI" w:eastAsia="Times New Roman" w:hAnsi="Segoe UI"/>
      <w:color w:val="000000"/>
      <w:sz w:val="18"/>
      <w:lang w:val="en-US" w:eastAsia="ru-RU"/>
    </w:rPr>
  </w:style>
  <w:style w:type="paragraph" w:customStyle="1" w:styleId="23">
    <w:name w:val="Основной текст2"/>
    <w:basedOn w:val="a"/>
    <w:uiPriority w:val="99"/>
    <w:rsid w:val="00D62CFC"/>
    <w:pPr>
      <w:shd w:val="clear" w:color="auto" w:fill="FFFFFF"/>
      <w:spacing w:before="240" w:after="72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rsid w:val="005A4D16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rsid w:val="005A4D16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locked/>
    <w:rsid w:val="005A4D16"/>
    <w:rPr>
      <w:rFonts w:ascii="Tahoma" w:eastAsia="Times New Roman" w:hAnsi="Tahoma"/>
      <w:color w:val="000000"/>
      <w:sz w:val="20"/>
      <w:lang w:val="en-US"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5A4D16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locked/>
    <w:rsid w:val="005A4D16"/>
    <w:rPr>
      <w:rFonts w:ascii="Tahoma" w:eastAsia="Times New Roman" w:hAnsi="Tahoma"/>
      <w:b/>
      <w:color w:val="000000"/>
      <w:sz w:val="20"/>
      <w:lang w:val="en-US" w:eastAsia="ru-RU"/>
    </w:rPr>
  </w:style>
  <w:style w:type="paragraph" w:styleId="ad">
    <w:name w:val="No Spacing"/>
    <w:uiPriority w:val="99"/>
    <w:qFormat/>
    <w:rsid w:val="00BD512D"/>
    <w:rPr>
      <w:kern w:val="2"/>
      <w:lang w:eastAsia="en-US"/>
    </w:rPr>
  </w:style>
  <w:style w:type="paragraph" w:styleId="ae">
    <w:name w:val="Body Text Indent"/>
    <w:basedOn w:val="a"/>
    <w:link w:val="af"/>
    <w:uiPriority w:val="99"/>
    <w:rsid w:val="00BD512D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BD512D"/>
    <w:rPr>
      <w:rFonts w:ascii="Times New Roman" w:hAnsi="Times New Roman"/>
      <w:sz w:val="20"/>
      <w:lang w:val="x-none" w:eastAsia="ru-RU"/>
    </w:rPr>
  </w:style>
  <w:style w:type="paragraph" w:styleId="af0">
    <w:name w:val="List Paragraph"/>
    <w:basedOn w:val="a"/>
    <w:uiPriority w:val="99"/>
    <w:qFormat/>
    <w:rsid w:val="00A05033"/>
    <w:pPr>
      <w:spacing w:after="160" w:line="259" w:lineRule="auto"/>
      <w:ind w:left="720"/>
      <w:contextualSpacing/>
    </w:pPr>
    <w:rPr>
      <w:rFonts w:ascii="Calibri" w:hAnsi="Calibri" w:cs="Times New Roman"/>
      <w:color w:val="auto"/>
      <w:kern w:val="2"/>
      <w:sz w:val="22"/>
      <w:szCs w:val="22"/>
      <w:lang w:val="uk-UA" w:eastAsia="en-US"/>
    </w:rPr>
  </w:style>
  <w:style w:type="character" w:styleId="af1">
    <w:name w:val="Emphasis"/>
    <w:basedOn w:val="a0"/>
    <w:uiPriority w:val="99"/>
    <w:qFormat/>
    <w:rsid w:val="00A05033"/>
    <w:rPr>
      <w:rFonts w:cs="Times New Roman"/>
      <w:i/>
    </w:rPr>
  </w:style>
  <w:style w:type="paragraph" w:styleId="af2">
    <w:name w:val="header"/>
    <w:basedOn w:val="a"/>
    <w:link w:val="af3"/>
    <w:uiPriority w:val="99"/>
    <w:rsid w:val="001312B2"/>
    <w:pPr>
      <w:tabs>
        <w:tab w:val="center" w:pos="4819"/>
        <w:tab w:val="right" w:pos="9639"/>
      </w:tabs>
    </w:pPr>
  </w:style>
  <w:style w:type="character" w:customStyle="1" w:styleId="af3">
    <w:name w:val="Верхній колонтитул Знак"/>
    <w:basedOn w:val="a0"/>
    <w:link w:val="af2"/>
    <w:uiPriority w:val="99"/>
    <w:semiHidden/>
    <w:rsid w:val="00AA2A1B"/>
    <w:rPr>
      <w:rFonts w:ascii="Tahoma" w:hAnsi="Tahoma" w:cs="Tahoma"/>
      <w:color w:val="000000"/>
      <w:sz w:val="24"/>
      <w:szCs w:val="24"/>
      <w:lang w:val="en-US" w:eastAsia="ru-RU"/>
    </w:rPr>
  </w:style>
  <w:style w:type="paragraph" w:styleId="af4">
    <w:name w:val="footer"/>
    <w:basedOn w:val="a"/>
    <w:link w:val="af5"/>
    <w:uiPriority w:val="99"/>
    <w:rsid w:val="001312B2"/>
    <w:pPr>
      <w:tabs>
        <w:tab w:val="center" w:pos="4819"/>
        <w:tab w:val="right" w:pos="9639"/>
      </w:tabs>
    </w:pPr>
  </w:style>
  <w:style w:type="character" w:customStyle="1" w:styleId="af5">
    <w:name w:val="Нижній колонтитул Знак"/>
    <w:basedOn w:val="a0"/>
    <w:link w:val="af4"/>
    <w:uiPriority w:val="99"/>
    <w:semiHidden/>
    <w:rsid w:val="00AA2A1B"/>
    <w:rPr>
      <w:rFonts w:ascii="Tahoma" w:hAnsi="Tahoma" w:cs="Tahoma"/>
      <w:color w:val="000000"/>
      <w:sz w:val="24"/>
      <w:szCs w:val="24"/>
      <w:lang w:val="en-US" w:eastAsia="ru-RU"/>
    </w:rPr>
  </w:style>
  <w:style w:type="character" w:styleId="af6">
    <w:name w:val="page number"/>
    <w:basedOn w:val="a0"/>
    <w:uiPriority w:val="99"/>
    <w:rsid w:val="001312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malhealth@vemedim.com.v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vemedim.v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imalhealth@vemedim.com.v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vemedim.v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6722</Words>
  <Characters>3832</Characters>
  <Application>Microsoft Office Word</Application>
  <DocSecurity>0</DocSecurity>
  <Lines>31</Lines>
  <Paragraphs>21</Paragraphs>
  <ScaleCrop>false</ScaleCrop>
  <Company>SPecialiST RePack</Company>
  <LinksUpToDate>false</LinksUpToDate>
  <CharactersWithSpaces>10533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admin</cp:lastModifiedBy>
  <cp:revision>15</cp:revision>
  <cp:lastPrinted>2025-08-29T11:15:00Z</cp:lastPrinted>
  <dcterms:created xsi:type="dcterms:W3CDTF">2025-09-03T13:00:00Z</dcterms:created>
  <dcterms:modified xsi:type="dcterms:W3CDTF">2025-09-19T16:21:00Z</dcterms:modified>
</cp:coreProperties>
</file>